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80" w:lineRule="auto"/>
        <w:jc w:val="center"/>
        <w:rPr>
          <w:b/>
          <w:color w:val="1F497D"/>
          <w:sz w:val="36"/>
        </w:rPr>
      </w:pPr>
      <w:bookmarkStart w:id="0" w:name="_GoBack"/>
      <w:bookmarkEnd w:id="0"/>
    </w:p>
    <w:p>
      <w:pPr>
        <w:adjustRightInd w:val="0"/>
        <w:snapToGrid w:val="0"/>
        <w:spacing w:line="480" w:lineRule="auto"/>
        <w:jc w:val="center"/>
        <w:rPr>
          <w:b/>
          <w:color w:val="1F497D"/>
          <w:sz w:val="36"/>
        </w:rPr>
      </w:pPr>
    </w:p>
    <w:p>
      <w:pPr>
        <w:pStyle w:val="3"/>
        <w:jc w:val="center"/>
        <w:rPr>
          <w:rFonts w:asciiTheme="majorEastAsia" w:hAnsiTheme="majorEastAsia" w:eastAsiaTheme="majorEastAsia" w:cstheme="majorEastAsia"/>
          <w:sz w:val="52"/>
          <w:szCs w:val="44"/>
        </w:rPr>
      </w:pPr>
      <w:r>
        <w:rPr>
          <w:rFonts w:hint="eastAsia" w:asciiTheme="majorEastAsia" w:hAnsiTheme="majorEastAsia" w:eastAsiaTheme="majorEastAsia" w:cstheme="majorEastAsia"/>
          <w:sz w:val="52"/>
          <w:szCs w:val="44"/>
        </w:rPr>
        <w:t>安徽中冶淮海装配式建筑有限公司</w:t>
      </w:r>
    </w:p>
    <w:p>
      <w:pPr>
        <w:pStyle w:val="3"/>
        <w:jc w:val="center"/>
        <w:rPr>
          <w:rFonts w:asciiTheme="majorEastAsia" w:hAnsiTheme="majorEastAsia" w:eastAsiaTheme="majorEastAsia" w:cstheme="majorEastAsia"/>
          <w:sz w:val="52"/>
          <w:szCs w:val="44"/>
        </w:rPr>
      </w:pPr>
      <w:r>
        <w:rPr>
          <w:rFonts w:hint="eastAsia" w:asciiTheme="majorEastAsia" w:hAnsiTheme="majorEastAsia" w:eastAsiaTheme="majorEastAsia" w:cstheme="majorEastAsia"/>
          <w:sz w:val="52"/>
          <w:szCs w:val="44"/>
        </w:rPr>
        <w:t>箱涵预制及安装劳务作业竞价文件</w:t>
      </w:r>
    </w:p>
    <w:p>
      <w:pPr>
        <w:pStyle w:val="9"/>
        <w:ind w:left="0" w:leftChars="0"/>
        <w:jc w:val="center"/>
        <w:rPr>
          <w:rFonts w:ascii="黑体" w:eastAsia="黑体"/>
          <w:b/>
          <w:color w:val="993300"/>
          <w:sz w:val="48"/>
          <w:szCs w:val="48"/>
        </w:rPr>
      </w:pPr>
    </w:p>
    <w:p>
      <w:pPr>
        <w:pStyle w:val="9"/>
        <w:ind w:left="0" w:leftChars="0"/>
        <w:jc w:val="center"/>
        <w:rPr>
          <w:rFonts w:ascii="黑体" w:eastAsia="黑体"/>
          <w:b/>
          <w:color w:val="993300"/>
          <w:sz w:val="48"/>
          <w:szCs w:val="48"/>
        </w:rPr>
      </w:pPr>
    </w:p>
    <w:p>
      <w:pPr>
        <w:jc w:val="center"/>
        <w:rPr>
          <w:b/>
          <w:color w:val="000066"/>
          <w:sz w:val="32"/>
          <w:szCs w:val="32"/>
        </w:rPr>
      </w:pPr>
    </w:p>
    <w:p>
      <w:pPr>
        <w:jc w:val="center"/>
        <w:rPr>
          <w:b/>
          <w:color w:val="000066"/>
          <w:sz w:val="32"/>
          <w:szCs w:val="32"/>
        </w:rPr>
      </w:pPr>
    </w:p>
    <w:p>
      <w:pPr>
        <w:jc w:val="center"/>
        <w:rPr>
          <w:b/>
          <w:color w:val="000066"/>
          <w:sz w:val="32"/>
          <w:szCs w:val="32"/>
        </w:rPr>
      </w:pPr>
      <w:r>
        <w:rPr>
          <w:rFonts w:hint="eastAsia" w:ascii="方正小标宋简体" w:hAnsi="方正小标宋简体" w:eastAsia="方正小标宋简体" w:cs="方正小标宋简体"/>
          <w:b/>
        </w:rPr>
        <w:drawing>
          <wp:anchor distT="0" distB="0" distL="114300" distR="114300" simplePos="0" relativeHeight="251659264" behindDoc="0" locked="0" layoutInCell="1" allowOverlap="1">
            <wp:simplePos x="0" y="0"/>
            <wp:positionH relativeFrom="column">
              <wp:posOffset>1641475</wp:posOffset>
            </wp:positionH>
            <wp:positionV relativeFrom="paragraph">
              <wp:posOffset>170180</wp:posOffset>
            </wp:positionV>
            <wp:extent cx="2124710" cy="1961515"/>
            <wp:effectExtent l="0" t="0" r="8890" b="635"/>
            <wp:wrapNone/>
            <wp:docPr id="8"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descr="图片1"/>
                    <pic:cNvPicPr>
                      <a:picLocks noChangeAspect="1"/>
                    </pic:cNvPicPr>
                  </pic:nvPicPr>
                  <pic:blipFill>
                    <a:blip r:embed="rId5"/>
                    <a:stretch>
                      <a:fillRect/>
                    </a:stretch>
                  </pic:blipFill>
                  <pic:spPr>
                    <a:xfrm>
                      <a:off x="0" y="0"/>
                      <a:ext cx="2124710" cy="1961515"/>
                    </a:xfrm>
                    <a:prstGeom prst="rect">
                      <a:avLst/>
                    </a:prstGeom>
                    <a:noFill/>
                    <a:ln>
                      <a:noFill/>
                    </a:ln>
                  </pic:spPr>
                </pic:pic>
              </a:graphicData>
            </a:graphic>
          </wp:anchor>
        </w:drawing>
      </w:r>
    </w:p>
    <w:p>
      <w:pPr>
        <w:pStyle w:val="18"/>
        <w:ind w:firstLine="643"/>
        <w:rPr>
          <w:b/>
          <w:color w:val="000066"/>
          <w:sz w:val="32"/>
          <w:szCs w:val="32"/>
        </w:rPr>
      </w:pPr>
    </w:p>
    <w:p>
      <w:pPr>
        <w:pStyle w:val="18"/>
        <w:ind w:firstLine="643"/>
        <w:rPr>
          <w:b/>
          <w:color w:val="000066"/>
          <w:sz w:val="32"/>
          <w:szCs w:val="32"/>
        </w:rPr>
      </w:pPr>
    </w:p>
    <w:p>
      <w:pPr>
        <w:pStyle w:val="18"/>
        <w:ind w:firstLine="643"/>
        <w:rPr>
          <w:b/>
          <w:color w:val="000066"/>
          <w:sz w:val="32"/>
          <w:szCs w:val="32"/>
        </w:rPr>
      </w:pPr>
    </w:p>
    <w:p>
      <w:pPr>
        <w:pStyle w:val="18"/>
        <w:ind w:firstLine="643"/>
        <w:rPr>
          <w:b/>
          <w:color w:val="000066"/>
          <w:sz w:val="32"/>
          <w:szCs w:val="32"/>
        </w:rPr>
      </w:pPr>
      <w:r>
        <w:rPr>
          <w:rFonts w:hint="eastAsia"/>
          <w:b/>
          <w:color w:val="000066"/>
          <w:sz w:val="32"/>
          <w:szCs w:val="32"/>
        </w:rPr>
        <w:t xml:space="preserve">         </w:t>
      </w:r>
    </w:p>
    <w:p>
      <w:pPr>
        <w:pStyle w:val="18"/>
        <w:ind w:firstLine="643"/>
        <w:rPr>
          <w:b/>
          <w:color w:val="000066"/>
          <w:sz w:val="32"/>
          <w:szCs w:val="32"/>
        </w:rPr>
      </w:pPr>
    </w:p>
    <w:p>
      <w:pPr>
        <w:pStyle w:val="18"/>
        <w:ind w:firstLine="643"/>
        <w:rPr>
          <w:b/>
          <w:color w:val="000066"/>
          <w:sz w:val="32"/>
          <w:szCs w:val="32"/>
        </w:rPr>
      </w:pPr>
    </w:p>
    <w:p>
      <w:pPr>
        <w:pStyle w:val="18"/>
        <w:ind w:firstLine="643"/>
        <w:rPr>
          <w:b/>
          <w:color w:val="000066"/>
          <w:sz w:val="32"/>
          <w:szCs w:val="32"/>
        </w:rPr>
      </w:pPr>
    </w:p>
    <w:p>
      <w:pPr>
        <w:spacing w:line="360" w:lineRule="auto"/>
        <w:ind w:firstLine="960" w:firstLineChars="300"/>
        <w:rPr>
          <w:rFonts w:ascii="仿宋_GB2312" w:hAnsi="仿宋_GB2312" w:eastAsia="仿宋_GB2312" w:cs="仿宋_GB2312"/>
          <w:sz w:val="32"/>
          <w:szCs w:val="32"/>
        </w:rPr>
      </w:pPr>
      <w:r>
        <w:rPr>
          <w:rFonts w:hint="eastAsia" w:ascii="仿宋_GB2312" w:hAnsi="仿宋_GB2312" w:eastAsia="仿宋_GB2312" w:cs="仿宋_GB2312"/>
          <w:sz w:val="32"/>
          <w:szCs w:val="32"/>
        </w:rPr>
        <w:t>发 包 人：安徽中冶淮海装配式建筑有限公司</w:t>
      </w:r>
    </w:p>
    <w:p>
      <w:pPr>
        <w:spacing w:line="360" w:lineRule="auto"/>
        <w:ind w:firstLine="960" w:firstLineChars="300"/>
        <w:rPr>
          <w:rFonts w:ascii="仿宋_GB2312" w:hAnsi="仿宋_GB2312" w:eastAsia="仿宋_GB2312" w:cs="仿宋_GB2312"/>
          <w:sz w:val="32"/>
          <w:szCs w:val="32"/>
        </w:rPr>
      </w:pPr>
      <w:r>
        <w:rPr>
          <w:rFonts w:hint="eastAsia" w:ascii="仿宋_GB2312" w:hAnsi="仿宋_GB2312" w:eastAsia="仿宋_GB2312" w:cs="仿宋_GB2312"/>
          <w:sz w:val="32"/>
          <w:szCs w:val="32"/>
        </w:rPr>
        <w:t>竞价编号：ZYHH(SW)-LWJJ-202306</w:t>
      </w:r>
      <w:r>
        <w:rPr>
          <w:rFonts w:ascii="仿宋_GB2312" w:hAnsi="仿宋_GB2312" w:eastAsia="仿宋_GB2312" w:cs="仿宋_GB2312"/>
          <w:sz w:val="32"/>
          <w:szCs w:val="32"/>
        </w:rPr>
        <w:t>11</w:t>
      </w:r>
      <w:r>
        <w:rPr>
          <w:rFonts w:hint="eastAsia" w:ascii="仿宋_GB2312" w:hAnsi="仿宋_GB2312" w:eastAsia="仿宋_GB2312" w:cs="仿宋_GB2312"/>
          <w:sz w:val="32"/>
          <w:szCs w:val="32"/>
        </w:rPr>
        <w:t xml:space="preserve">-001 </w:t>
      </w:r>
    </w:p>
    <w:p>
      <w:pPr>
        <w:pStyle w:val="2"/>
      </w:pPr>
    </w:p>
    <w:p>
      <w:pPr>
        <w:pStyle w:val="18"/>
        <w:numPr>
          <w:ilvl w:val="0"/>
          <w:numId w:val="1"/>
        </w:numPr>
        <w:ind w:firstLine="602"/>
        <w:rPr>
          <w:rStyle w:val="26"/>
          <w:rFonts w:ascii="宋体" w:hAnsi="宋体" w:cs="宋体"/>
          <w:b/>
          <w:bCs/>
          <w:sz w:val="30"/>
          <w:szCs w:val="30"/>
        </w:rPr>
      </w:pPr>
      <w:r>
        <w:rPr>
          <w:rStyle w:val="26"/>
          <w:rFonts w:hint="eastAsia" w:ascii="宋体" w:hAnsi="宋体" w:cs="宋体"/>
          <w:b/>
          <w:bCs/>
          <w:sz w:val="30"/>
          <w:szCs w:val="30"/>
        </w:rPr>
        <w:t>报价单位具备条件</w:t>
      </w:r>
    </w:p>
    <w:p>
      <w:pPr>
        <w:snapToGrid w:val="0"/>
        <w:ind w:firstLine="600" w:firstLineChars="200"/>
        <w:rPr>
          <w:rFonts w:ascii="宋体" w:hAnsi="宋体" w:cs="宋体"/>
          <w:sz w:val="30"/>
          <w:szCs w:val="30"/>
        </w:rPr>
      </w:pPr>
      <w:r>
        <w:rPr>
          <w:rFonts w:hint="eastAsia" w:ascii="宋体" w:hAnsi="宋体" w:cs="宋体"/>
          <w:sz w:val="30"/>
          <w:szCs w:val="30"/>
        </w:rPr>
        <w:t>1、具有合法营业执照、独立法人资格。</w:t>
      </w:r>
    </w:p>
    <w:p>
      <w:pPr>
        <w:snapToGrid w:val="0"/>
        <w:ind w:firstLine="600" w:firstLineChars="200"/>
        <w:rPr>
          <w:rFonts w:ascii="宋体" w:hAnsi="宋体" w:cs="宋体"/>
          <w:sz w:val="30"/>
          <w:szCs w:val="30"/>
        </w:rPr>
      </w:pPr>
      <w:r>
        <w:rPr>
          <w:rFonts w:hint="eastAsia" w:ascii="宋体" w:hAnsi="宋体" w:cs="宋体"/>
          <w:sz w:val="30"/>
          <w:szCs w:val="30"/>
        </w:rPr>
        <w:t>2、具有劳务施工资质。</w:t>
      </w:r>
    </w:p>
    <w:p>
      <w:pPr>
        <w:snapToGrid w:val="0"/>
        <w:ind w:firstLine="600" w:firstLineChars="200"/>
        <w:rPr>
          <w:rFonts w:ascii="宋体" w:hAnsi="宋体" w:cs="宋体"/>
          <w:sz w:val="30"/>
          <w:szCs w:val="30"/>
        </w:rPr>
      </w:pPr>
      <w:r>
        <w:rPr>
          <w:rFonts w:hint="eastAsia" w:ascii="宋体" w:hAnsi="宋体" w:cs="宋体"/>
          <w:sz w:val="30"/>
          <w:szCs w:val="30"/>
        </w:rPr>
        <w:t>3、不接受联合体报价。</w:t>
      </w:r>
    </w:p>
    <w:p>
      <w:pPr>
        <w:pStyle w:val="4"/>
        <w:snapToGrid w:val="0"/>
        <w:spacing w:line="360" w:lineRule="auto"/>
        <w:ind w:firstLine="602" w:firstLineChars="200"/>
        <w:rPr>
          <w:rFonts w:ascii="宋体" w:hAnsi="宋体" w:cs="宋体"/>
          <w:sz w:val="30"/>
          <w:szCs w:val="30"/>
        </w:rPr>
      </w:pPr>
      <w:r>
        <w:rPr>
          <w:rFonts w:hint="eastAsia" w:ascii="宋体" w:hAnsi="宋体" w:cs="宋体"/>
          <w:sz w:val="30"/>
          <w:szCs w:val="30"/>
        </w:rPr>
        <w:t>二、 竞价说明</w:t>
      </w:r>
    </w:p>
    <w:p>
      <w:pPr>
        <w:snapToGrid w:val="0"/>
        <w:ind w:firstLine="600" w:firstLineChars="200"/>
        <w:rPr>
          <w:rFonts w:ascii="宋体" w:hAnsi="宋体" w:cs="宋体"/>
          <w:sz w:val="30"/>
          <w:szCs w:val="30"/>
        </w:rPr>
      </w:pPr>
      <w:r>
        <w:rPr>
          <w:rFonts w:hint="eastAsia" w:ascii="宋体" w:hAnsi="宋体" w:cs="宋体"/>
          <w:sz w:val="30"/>
          <w:szCs w:val="30"/>
        </w:rPr>
        <w:t>1、 竞价开始时间：2023年6月</w:t>
      </w:r>
      <w:r>
        <w:rPr>
          <w:rFonts w:ascii="宋体" w:hAnsi="宋体" w:cs="宋体"/>
          <w:sz w:val="30"/>
          <w:szCs w:val="30"/>
        </w:rPr>
        <w:t>11</w:t>
      </w:r>
      <w:r>
        <w:rPr>
          <w:rFonts w:hint="eastAsia" w:ascii="宋体" w:hAnsi="宋体" w:cs="宋体"/>
          <w:sz w:val="30"/>
          <w:szCs w:val="30"/>
        </w:rPr>
        <w:t>日1</w:t>
      </w:r>
      <w:r>
        <w:rPr>
          <w:rFonts w:ascii="宋体" w:hAnsi="宋体" w:cs="宋体"/>
          <w:sz w:val="30"/>
          <w:szCs w:val="30"/>
        </w:rPr>
        <w:t>5</w:t>
      </w:r>
      <w:r>
        <w:rPr>
          <w:rFonts w:hint="eastAsia" w:ascii="宋体" w:hAnsi="宋体" w:cs="宋体"/>
          <w:sz w:val="30"/>
          <w:szCs w:val="30"/>
        </w:rPr>
        <w:t>:00时</w:t>
      </w:r>
    </w:p>
    <w:p>
      <w:pPr>
        <w:snapToGrid w:val="0"/>
        <w:ind w:firstLine="1200" w:firstLineChars="400"/>
        <w:rPr>
          <w:rFonts w:ascii="宋体" w:hAnsi="宋体" w:cs="宋体"/>
          <w:sz w:val="30"/>
          <w:szCs w:val="30"/>
        </w:rPr>
      </w:pPr>
      <w:r>
        <w:rPr>
          <w:rFonts w:hint="eastAsia" w:ascii="宋体" w:hAnsi="宋体" w:cs="宋体"/>
          <w:sz w:val="30"/>
          <w:szCs w:val="30"/>
        </w:rPr>
        <w:t>竞价截止时间：2023年6月1</w:t>
      </w:r>
      <w:r>
        <w:rPr>
          <w:rFonts w:ascii="宋体" w:hAnsi="宋体" w:cs="宋体"/>
          <w:sz w:val="30"/>
          <w:szCs w:val="30"/>
        </w:rPr>
        <w:t>6</w:t>
      </w:r>
      <w:r>
        <w:rPr>
          <w:rFonts w:hint="eastAsia" w:ascii="宋体" w:hAnsi="宋体" w:cs="宋体"/>
          <w:sz w:val="30"/>
          <w:szCs w:val="30"/>
        </w:rPr>
        <w:t>日10:00时</w:t>
      </w:r>
    </w:p>
    <w:p>
      <w:pPr>
        <w:snapToGrid w:val="0"/>
        <w:ind w:firstLine="600" w:firstLineChars="200"/>
        <w:rPr>
          <w:rFonts w:ascii="宋体" w:hAnsi="宋体" w:cs="宋体"/>
          <w:sz w:val="30"/>
          <w:szCs w:val="30"/>
        </w:rPr>
      </w:pPr>
      <w:r>
        <w:rPr>
          <w:rFonts w:hint="eastAsia" w:ascii="宋体" w:hAnsi="宋体" w:cs="宋体"/>
          <w:sz w:val="30"/>
          <w:szCs w:val="30"/>
        </w:rPr>
        <w:t>2、竞价方式：线下竞价</w:t>
      </w:r>
    </w:p>
    <w:p>
      <w:pPr>
        <w:tabs>
          <w:tab w:val="left" w:leader="dot" w:pos="480"/>
          <w:tab w:val="left" w:pos="567"/>
        </w:tabs>
        <w:ind w:firstLine="600" w:firstLineChars="200"/>
        <w:rPr>
          <w:rFonts w:ascii="仿宋_GB2312" w:hAnsi="宋体" w:eastAsia="仿宋_GB2312"/>
          <w:sz w:val="28"/>
        </w:rPr>
      </w:pPr>
      <w:r>
        <w:rPr>
          <w:rFonts w:hint="eastAsia" w:ascii="宋体" w:hAnsi="宋体" w:cs="宋体"/>
          <w:sz w:val="30"/>
          <w:szCs w:val="30"/>
        </w:rPr>
        <w:t>3、联系人及联系方式：郭磊     电话：</w:t>
      </w:r>
      <w:r>
        <w:rPr>
          <w:rFonts w:hint="eastAsia" w:ascii="仿宋_GB2312" w:eastAsia="仿宋_GB2312"/>
          <w:sz w:val="28"/>
        </w:rPr>
        <w:t>13605613626</w:t>
      </w:r>
    </w:p>
    <w:p>
      <w:pPr>
        <w:snapToGrid w:val="0"/>
        <w:ind w:firstLine="600" w:firstLineChars="200"/>
        <w:rPr>
          <w:rFonts w:ascii="宋体" w:hAnsi="宋体" w:cs="宋体"/>
          <w:sz w:val="30"/>
          <w:szCs w:val="30"/>
        </w:rPr>
      </w:pPr>
      <w:r>
        <w:rPr>
          <w:rFonts w:hint="eastAsia" w:ascii="宋体" w:hAnsi="宋体" w:cs="宋体"/>
          <w:sz w:val="30"/>
          <w:szCs w:val="30"/>
        </w:rPr>
        <w:t>4、地    址：安徽省淮北市杜集区经济开发区紫藤北路18号</w:t>
      </w:r>
    </w:p>
    <w:p>
      <w:pPr>
        <w:snapToGrid w:val="0"/>
        <w:ind w:firstLine="600" w:firstLineChars="200"/>
        <w:rPr>
          <w:rFonts w:ascii="宋体" w:hAnsi="宋体" w:cs="宋体"/>
          <w:sz w:val="30"/>
          <w:szCs w:val="30"/>
        </w:rPr>
      </w:pPr>
      <w:r>
        <w:rPr>
          <w:rFonts w:hint="eastAsia" w:ascii="宋体" w:hAnsi="宋体" w:cs="宋体"/>
          <w:sz w:val="30"/>
          <w:szCs w:val="30"/>
        </w:rPr>
        <w:t>5、竞价内容：工作内容为箱涵预制及安装的施工全过程。</w:t>
      </w:r>
    </w:p>
    <w:p>
      <w:pPr>
        <w:snapToGrid w:val="0"/>
        <w:ind w:firstLine="600" w:firstLineChars="200"/>
        <w:rPr>
          <w:rFonts w:ascii="宋体" w:hAnsi="宋体" w:cs="宋体"/>
          <w:sz w:val="30"/>
          <w:szCs w:val="30"/>
        </w:rPr>
      </w:pPr>
      <w:r>
        <w:rPr>
          <w:rFonts w:hint="eastAsia" w:ascii="宋体" w:hAnsi="宋体" w:cs="宋体"/>
          <w:sz w:val="30"/>
          <w:szCs w:val="30"/>
        </w:rPr>
        <w:t>6、报价有关说明：每2米为一个报价单位，报价分项内容及要求详见备注栏。</w:t>
      </w:r>
    </w:p>
    <w:p>
      <w:pPr>
        <w:pStyle w:val="3"/>
        <w:numPr>
          <w:ilvl w:val="0"/>
          <w:numId w:val="2"/>
        </w:numPr>
        <w:snapToGrid w:val="0"/>
        <w:spacing w:line="360" w:lineRule="auto"/>
        <w:ind w:firstLine="602" w:firstLineChars="200"/>
        <w:rPr>
          <w:rFonts w:ascii="宋体" w:hAnsi="宋体" w:eastAsia="宋体" w:cs="宋体"/>
          <w:b w:val="0"/>
          <w:sz w:val="30"/>
          <w:szCs w:val="30"/>
        </w:rPr>
      </w:pPr>
      <w:r>
        <w:rPr>
          <w:rFonts w:hint="eastAsia" w:ascii="宋体" w:hAnsi="宋体" w:eastAsia="宋体" w:cs="宋体"/>
          <w:bCs/>
          <w:sz w:val="30"/>
          <w:szCs w:val="30"/>
        </w:rPr>
        <w:t>竞价内容：</w:t>
      </w:r>
    </w:p>
    <w:p>
      <w:pPr>
        <w:pStyle w:val="3"/>
        <w:snapToGrid w:val="0"/>
        <w:spacing w:line="240" w:lineRule="auto"/>
        <w:ind w:firstLine="600" w:firstLineChars="200"/>
        <w:rPr>
          <w:rFonts w:ascii="宋体" w:hAnsi="宋体" w:eastAsia="宋体" w:cs="宋体"/>
          <w:b w:val="0"/>
          <w:sz w:val="30"/>
          <w:szCs w:val="30"/>
        </w:rPr>
      </w:pPr>
      <w:r>
        <w:rPr>
          <w:rFonts w:hint="eastAsia" w:ascii="宋体" w:hAnsi="宋体" w:eastAsia="宋体" w:cs="宋体"/>
          <w:b w:val="0"/>
          <w:sz w:val="30"/>
          <w:szCs w:val="30"/>
        </w:rPr>
        <w:t>箱涵预制及安装劳务作业，具体包括：</w:t>
      </w:r>
    </w:p>
    <w:p>
      <w:pPr>
        <w:pStyle w:val="18"/>
        <w:snapToGrid w:val="0"/>
        <w:ind w:firstLine="560"/>
      </w:pPr>
      <w:r>
        <w:rPr>
          <w:rFonts w:hint="eastAsia"/>
        </w:rPr>
        <w:t>（一）箱涵制作</w:t>
      </w:r>
    </w:p>
    <w:p>
      <w:pPr>
        <w:pStyle w:val="18"/>
        <w:snapToGrid w:val="0"/>
        <w:ind w:firstLine="560"/>
      </w:pPr>
      <w:r>
        <w:rPr>
          <w:rFonts w:hint="eastAsia"/>
        </w:rPr>
        <w:t>1、</w:t>
      </w:r>
      <w:r>
        <w:rPr>
          <w:rFonts w:hint="eastAsia"/>
        </w:rPr>
        <w:tab/>
      </w:r>
      <w:r>
        <w:rPr>
          <w:rFonts w:hint="eastAsia"/>
        </w:rPr>
        <w:t xml:space="preserve">钢筋下料、制作、绑扎、定位 </w:t>
      </w:r>
    </w:p>
    <w:p>
      <w:pPr>
        <w:pStyle w:val="18"/>
        <w:snapToGrid w:val="0"/>
        <w:ind w:firstLine="560"/>
      </w:pPr>
      <w:r>
        <w:rPr>
          <w:rFonts w:hint="eastAsia"/>
        </w:rPr>
        <w:t>2、</w:t>
      </w:r>
      <w:r>
        <w:rPr>
          <w:rFonts w:hint="eastAsia"/>
        </w:rPr>
        <w:tab/>
      </w:r>
      <w:r>
        <w:rPr>
          <w:rFonts w:hint="eastAsia"/>
        </w:rPr>
        <w:t>辅材</w:t>
      </w:r>
    </w:p>
    <w:p>
      <w:pPr>
        <w:pStyle w:val="18"/>
        <w:snapToGrid w:val="0"/>
        <w:ind w:firstLine="560"/>
      </w:pPr>
      <w:r>
        <w:rPr>
          <w:rFonts w:hint="eastAsia"/>
        </w:rPr>
        <w:t>3、</w:t>
      </w:r>
      <w:r>
        <w:rPr>
          <w:rFonts w:hint="eastAsia"/>
        </w:rPr>
        <w:tab/>
      </w:r>
      <w:r>
        <w:rPr>
          <w:rFonts w:hint="eastAsia"/>
        </w:rPr>
        <w:t>模板安装</w:t>
      </w:r>
    </w:p>
    <w:p>
      <w:pPr>
        <w:pStyle w:val="18"/>
        <w:snapToGrid w:val="0"/>
        <w:ind w:firstLine="560"/>
      </w:pPr>
      <w:r>
        <w:rPr>
          <w:rFonts w:hint="eastAsia"/>
        </w:rPr>
        <w:t>4、</w:t>
      </w:r>
      <w:r>
        <w:rPr>
          <w:rFonts w:hint="eastAsia"/>
        </w:rPr>
        <w:tab/>
      </w:r>
      <w:r>
        <w:rPr>
          <w:rFonts w:hint="eastAsia"/>
        </w:rPr>
        <w:t>模具拆装、清理、涂刷脱模剂</w:t>
      </w:r>
    </w:p>
    <w:p>
      <w:pPr>
        <w:pStyle w:val="18"/>
        <w:snapToGrid w:val="0"/>
        <w:ind w:firstLine="560"/>
      </w:pPr>
      <w:r>
        <w:rPr>
          <w:rFonts w:hint="eastAsia"/>
        </w:rPr>
        <w:t>5、</w:t>
      </w:r>
      <w:r>
        <w:rPr>
          <w:rFonts w:hint="eastAsia"/>
        </w:rPr>
        <w:tab/>
      </w:r>
      <w:r>
        <w:rPr>
          <w:rFonts w:hint="eastAsia"/>
        </w:rPr>
        <w:t>混凝土浇筑</w:t>
      </w:r>
    </w:p>
    <w:p>
      <w:pPr>
        <w:pStyle w:val="18"/>
        <w:snapToGrid w:val="0"/>
        <w:ind w:firstLine="560"/>
      </w:pPr>
      <w:r>
        <w:rPr>
          <w:rFonts w:hint="eastAsia"/>
        </w:rPr>
        <w:t>6、</w:t>
      </w:r>
      <w:r>
        <w:rPr>
          <w:rFonts w:hint="eastAsia"/>
        </w:rPr>
        <w:tab/>
      </w:r>
      <w:r>
        <w:rPr>
          <w:rFonts w:hint="eastAsia"/>
        </w:rPr>
        <w:t>封口清理、砂光、场地清理等</w:t>
      </w:r>
    </w:p>
    <w:p>
      <w:pPr>
        <w:pStyle w:val="18"/>
        <w:snapToGrid w:val="0"/>
        <w:ind w:firstLine="560"/>
      </w:pPr>
      <w:r>
        <w:rPr>
          <w:rFonts w:hint="eastAsia"/>
        </w:rPr>
        <w:t>7、</w:t>
      </w:r>
      <w:r>
        <w:rPr>
          <w:rFonts w:hint="eastAsia"/>
        </w:rPr>
        <w:tab/>
      </w:r>
      <w:r>
        <w:rPr>
          <w:rFonts w:hint="eastAsia"/>
        </w:rPr>
        <w:t>日常养护</w:t>
      </w:r>
    </w:p>
    <w:p>
      <w:pPr>
        <w:pStyle w:val="18"/>
        <w:snapToGrid w:val="0"/>
        <w:ind w:firstLine="560"/>
      </w:pPr>
      <w:r>
        <w:rPr>
          <w:rFonts w:hint="eastAsia"/>
        </w:rPr>
        <w:t>8、</w:t>
      </w:r>
      <w:r>
        <w:rPr>
          <w:rFonts w:hint="eastAsia"/>
        </w:rPr>
        <w:tab/>
      </w:r>
      <w:r>
        <w:rPr>
          <w:rFonts w:hint="eastAsia"/>
        </w:rPr>
        <w:t>蒸养膜布覆盖、封闭配合人工</w:t>
      </w:r>
    </w:p>
    <w:p>
      <w:pPr>
        <w:pStyle w:val="18"/>
        <w:snapToGrid w:val="0"/>
        <w:ind w:firstLine="560"/>
      </w:pPr>
      <w:r>
        <w:rPr>
          <w:rFonts w:hint="eastAsia"/>
        </w:rPr>
        <w:t>（二）转运及安装</w:t>
      </w:r>
    </w:p>
    <w:p>
      <w:pPr>
        <w:pStyle w:val="18"/>
        <w:snapToGrid w:val="0"/>
        <w:ind w:firstLine="560"/>
      </w:pPr>
      <w:r>
        <w:rPr>
          <w:rFonts w:hint="eastAsia"/>
        </w:rPr>
        <w:t>1、</w:t>
      </w:r>
      <w:r>
        <w:rPr>
          <w:rFonts w:hint="eastAsia"/>
        </w:rPr>
        <w:tab/>
      </w:r>
      <w:r>
        <w:rPr>
          <w:rFonts w:hint="eastAsia"/>
        </w:rPr>
        <w:t>场地箱涵立式转卧式</w:t>
      </w:r>
    </w:p>
    <w:p>
      <w:pPr>
        <w:pStyle w:val="18"/>
        <w:snapToGrid w:val="0"/>
        <w:ind w:firstLine="560"/>
      </w:pPr>
      <w:r>
        <w:rPr>
          <w:rFonts w:hint="eastAsia"/>
        </w:rPr>
        <w:t>2、</w:t>
      </w:r>
      <w:r>
        <w:rPr>
          <w:rFonts w:hint="eastAsia"/>
        </w:rPr>
        <w:tab/>
      </w:r>
      <w:r>
        <w:rPr>
          <w:rFonts w:hint="eastAsia"/>
        </w:rPr>
        <w:t>装车费</w:t>
      </w:r>
    </w:p>
    <w:p>
      <w:pPr>
        <w:pStyle w:val="18"/>
        <w:snapToGrid w:val="0"/>
        <w:ind w:firstLine="560"/>
      </w:pPr>
      <w:r>
        <w:rPr>
          <w:rFonts w:hint="eastAsia"/>
        </w:rPr>
        <w:t>3、</w:t>
      </w:r>
      <w:r>
        <w:rPr>
          <w:rFonts w:hint="eastAsia"/>
        </w:rPr>
        <w:tab/>
      </w:r>
      <w:r>
        <w:rPr>
          <w:rFonts w:hint="eastAsia"/>
        </w:rPr>
        <w:t>现场安装费</w:t>
      </w:r>
    </w:p>
    <w:p>
      <w:pPr>
        <w:pStyle w:val="18"/>
        <w:snapToGrid w:val="0"/>
        <w:ind w:firstLine="560"/>
      </w:pPr>
      <w:r>
        <w:rPr>
          <w:rFonts w:hint="eastAsia"/>
        </w:rPr>
        <w:t>4、</w:t>
      </w:r>
      <w:r>
        <w:rPr>
          <w:rFonts w:hint="eastAsia"/>
        </w:rPr>
        <w:tab/>
      </w:r>
      <w:r>
        <w:rPr>
          <w:rFonts w:hint="eastAsia"/>
        </w:rPr>
        <w:t>接口封堵</w:t>
      </w:r>
    </w:p>
    <w:p>
      <w:pPr>
        <w:pStyle w:val="18"/>
        <w:snapToGrid w:val="0"/>
        <w:ind w:firstLine="560"/>
      </w:pPr>
    </w:p>
    <w:p>
      <w:pPr>
        <w:pStyle w:val="7"/>
        <w:snapToGrid w:val="0"/>
        <w:spacing w:line="360" w:lineRule="auto"/>
        <w:ind w:firstLine="602" w:firstLineChars="200"/>
        <w:rPr>
          <w:rFonts w:hAnsi="宋体" w:cs="宋体"/>
          <w:b/>
          <w:bCs/>
          <w:sz w:val="30"/>
          <w:szCs w:val="30"/>
        </w:rPr>
      </w:pPr>
      <w:r>
        <w:rPr>
          <w:rFonts w:hint="eastAsia" w:hAnsi="宋体" w:cs="宋体"/>
          <w:b/>
          <w:bCs/>
          <w:sz w:val="30"/>
          <w:szCs w:val="30"/>
        </w:rPr>
        <w:t>四、劳务作业要求</w:t>
      </w:r>
    </w:p>
    <w:p>
      <w:pPr>
        <w:pStyle w:val="7"/>
        <w:snapToGrid w:val="0"/>
        <w:ind w:firstLine="600" w:firstLineChars="200"/>
        <w:rPr>
          <w:rFonts w:hAnsi="宋体" w:cs="宋体"/>
          <w:sz w:val="30"/>
          <w:szCs w:val="30"/>
        </w:rPr>
      </w:pPr>
      <w:r>
        <w:rPr>
          <w:rFonts w:hint="eastAsia" w:hAnsi="宋体" w:cs="宋体"/>
          <w:sz w:val="30"/>
          <w:szCs w:val="30"/>
        </w:rPr>
        <w:t>1、进度：模具主体提供6套，底模18套，箱体制作进度每天不得少于6段箱涵，每段2米。每天工作顺序约为：每天早上拆模、拼模、钢筋绑扎、浇筑砼.清理卫生、洒水养护、成品保护、配合吊机设备起吊箱涵。</w:t>
      </w:r>
    </w:p>
    <w:p>
      <w:pPr>
        <w:pStyle w:val="7"/>
        <w:snapToGrid w:val="0"/>
        <w:ind w:firstLine="600" w:firstLineChars="200"/>
        <w:rPr>
          <w:rFonts w:hAnsi="宋体" w:cs="宋体"/>
          <w:sz w:val="30"/>
          <w:szCs w:val="30"/>
        </w:rPr>
      </w:pPr>
      <w:r>
        <w:rPr>
          <w:rFonts w:hint="eastAsia" w:hAnsi="宋体" w:cs="宋体"/>
          <w:sz w:val="30"/>
          <w:szCs w:val="30"/>
        </w:rPr>
        <w:t>2、质量：制定浇筑方案，成品箱体不能有裂缝、露振、大量的蜂窝麻面等质量通病。</w:t>
      </w:r>
    </w:p>
    <w:p>
      <w:pPr>
        <w:pStyle w:val="7"/>
        <w:snapToGrid w:val="0"/>
        <w:ind w:firstLine="600" w:firstLineChars="200"/>
        <w:rPr>
          <w:rFonts w:hAnsi="宋体" w:cs="宋体"/>
          <w:sz w:val="30"/>
          <w:szCs w:val="30"/>
        </w:rPr>
      </w:pPr>
      <w:r>
        <w:rPr>
          <w:rFonts w:hint="eastAsia" w:hAnsi="宋体" w:cs="宋体"/>
          <w:sz w:val="30"/>
          <w:szCs w:val="30"/>
        </w:rPr>
        <w:t>3、安全：后场箱体翻转及现场安装有方案，无任何等级安全事故发生。</w:t>
      </w:r>
    </w:p>
    <w:p>
      <w:pPr>
        <w:pStyle w:val="7"/>
        <w:snapToGrid w:val="0"/>
        <w:ind w:firstLine="600" w:firstLineChars="200"/>
        <w:rPr>
          <w:rFonts w:hAnsi="宋体" w:cs="宋体"/>
          <w:sz w:val="30"/>
          <w:szCs w:val="30"/>
        </w:rPr>
      </w:pPr>
      <w:r>
        <w:rPr>
          <w:rFonts w:hint="eastAsia" w:hAnsi="宋体" w:cs="宋体"/>
          <w:sz w:val="30"/>
          <w:szCs w:val="30"/>
        </w:rPr>
        <w:t>4、箱涵尺寸：内径3m*3m，外径3.6m*3.6m、厚度0.3m，长2米分为一段，一段箱涵混凝土方量约8m</w:t>
      </w:r>
      <w:r>
        <w:rPr>
          <w:rFonts w:hint="eastAsia" w:hAnsi="宋体" w:cs="宋体"/>
          <w:sz w:val="30"/>
          <w:szCs w:val="30"/>
          <w:vertAlign w:val="superscript"/>
        </w:rPr>
        <w:t>3</w:t>
      </w:r>
      <w:r>
        <w:rPr>
          <w:rFonts w:hint="eastAsia" w:hAnsi="宋体" w:cs="宋体"/>
          <w:sz w:val="30"/>
          <w:szCs w:val="30"/>
        </w:rPr>
        <w:t>，钢筋含量约880kg，共计300米长。</w:t>
      </w:r>
    </w:p>
    <w:p>
      <w:pPr>
        <w:pStyle w:val="7"/>
        <w:snapToGrid w:val="0"/>
        <w:ind w:firstLine="600" w:firstLineChars="200"/>
        <w:rPr>
          <w:rFonts w:hAnsi="宋体" w:cs="宋体"/>
          <w:sz w:val="30"/>
          <w:szCs w:val="30"/>
        </w:rPr>
      </w:pPr>
    </w:p>
    <w:p>
      <w:pPr>
        <w:adjustRightInd w:val="0"/>
        <w:snapToGrid w:val="0"/>
        <w:spacing w:line="360" w:lineRule="auto"/>
        <w:ind w:firstLine="602" w:firstLineChars="200"/>
        <w:rPr>
          <w:rFonts w:ascii="宋体" w:hAnsi="宋体" w:cs="宋体"/>
          <w:b/>
          <w:bCs/>
          <w:sz w:val="30"/>
          <w:szCs w:val="30"/>
        </w:rPr>
      </w:pPr>
      <w:r>
        <w:rPr>
          <w:rFonts w:hint="eastAsia" w:ascii="宋体" w:hAnsi="宋体" w:cs="宋体"/>
          <w:b/>
          <w:bCs/>
          <w:sz w:val="30"/>
          <w:szCs w:val="30"/>
          <w:lang w:val="zh-CN"/>
        </w:rPr>
        <w:t>五、</w:t>
      </w:r>
      <w:r>
        <w:rPr>
          <w:rFonts w:hint="eastAsia" w:ascii="宋体" w:hAnsi="宋体" w:cs="宋体"/>
          <w:b/>
          <w:bCs/>
          <w:sz w:val="30"/>
          <w:szCs w:val="30"/>
        </w:rPr>
        <w:t>报价文件的组成</w:t>
      </w:r>
    </w:p>
    <w:p>
      <w:pPr>
        <w:adjustRightInd w:val="0"/>
        <w:snapToGrid w:val="0"/>
        <w:spacing w:line="360" w:lineRule="auto"/>
        <w:ind w:firstLine="600" w:firstLineChars="200"/>
        <w:rPr>
          <w:rFonts w:ascii="宋体" w:hAnsi="宋体" w:cs="宋体"/>
          <w:sz w:val="30"/>
          <w:szCs w:val="30"/>
        </w:rPr>
      </w:pPr>
      <w:r>
        <w:rPr>
          <w:rFonts w:hint="eastAsia" w:ascii="宋体" w:hAnsi="宋体" w:cs="宋体"/>
          <w:sz w:val="30"/>
          <w:szCs w:val="30"/>
        </w:rPr>
        <w:t>1、报价单【按竞价内容格式填报】；</w:t>
      </w:r>
    </w:p>
    <w:p>
      <w:pPr>
        <w:adjustRightInd w:val="0"/>
        <w:snapToGrid w:val="0"/>
        <w:spacing w:line="360" w:lineRule="auto"/>
        <w:ind w:firstLine="600" w:firstLineChars="200"/>
        <w:rPr>
          <w:rFonts w:ascii="宋体" w:hAnsi="宋体" w:cs="宋体"/>
          <w:sz w:val="30"/>
          <w:szCs w:val="30"/>
        </w:rPr>
      </w:pPr>
      <w:r>
        <w:rPr>
          <w:rFonts w:hint="eastAsia" w:ascii="宋体" w:hAnsi="宋体" w:cs="宋体"/>
          <w:sz w:val="30"/>
          <w:szCs w:val="30"/>
        </w:rPr>
        <w:t>2、提供报价人的营业执照复印件、法定代表人授权委托书；</w:t>
      </w:r>
    </w:p>
    <w:p>
      <w:pPr>
        <w:adjustRightInd w:val="0"/>
        <w:snapToGrid w:val="0"/>
        <w:spacing w:line="360" w:lineRule="auto"/>
        <w:ind w:firstLine="600" w:firstLineChars="200"/>
        <w:rPr>
          <w:rFonts w:ascii="宋体" w:hAnsi="宋体" w:cs="宋体"/>
          <w:sz w:val="30"/>
          <w:szCs w:val="30"/>
        </w:rPr>
      </w:pPr>
      <w:r>
        <w:rPr>
          <w:rFonts w:hint="eastAsia" w:ascii="宋体" w:hAnsi="宋体" w:cs="宋体"/>
          <w:sz w:val="30"/>
          <w:szCs w:val="30"/>
        </w:rPr>
        <w:t>3、提供报价人的企业资质；</w:t>
      </w:r>
    </w:p>
    <w:p>
      <w:pPr>
        <w:adjustRightInd w:val="0"/>
        <w:snapToGrid w:val="0"/>
        <w:spacing w:line="360" w:lineRule="auto"/>
        <w:ind w:firstLine="602" w:firstLineChars="200"/>
        <w:rPr>
          <w:rFonts w:ascii="宋体" w:hAnsi="宋体" w:cs="宋体"/>
          <w:b/>
          <w:bCs/>
          <w:sz w:val="30"/>
          <w:szCs w:val="30"/>
        </w:rPr>
      </w:pPr>
      <w:r>
        <w:rPr>
          <w:rFonts w:hint="eastAsia" w:ascii="宋体" w:hAnsi="宋体" w:cs="宋体"/>
          <w:b/>
          <w:bCs/>
          <w:sz w:val="30"/>
          <w:szCs w:val="30"/>
        </w:rPr>
        <w:t>六、报价文件的份数、签署、密封递交</w:t>
      </w:r>
    </w:p>
    <w:p>
      <w:pPr>
        <w:tabs>
          <w:tab w:val="left" w:pos="1036"/>
        </w:tabs>
        <w:adjustRightInd w:val="0"/>
        <w:snapToGrid w:val="0"/>
        <w:ind w:firstLine="600" w:firstLineChars="200"/>
        <w:rPr>
          <w:rFonts w:ascii="宋体" w:hAnsi="宋体" w:cs="宋体"/>
          <w:color w:val="FF0000"/>
          <w:sz w:val="30"/>
          <w:szCs w:val="30"/>
        </w:rPr>
      </w:pPr>
      <w:r>
        <w:rPr>
          <w:rFonts w:hint="eastAsia" w:ascii="宋体" w:hAnsi="宋体" w:cs="宋体"/>
          <w:sz w:val="30"/>
          <w:szCs w:val="30"/>
        </w:rPr>
        <w:t xml:space="preserve">1、报价文件应装订成册，并送交3份； </w:t>
      </w:r>
      <w:r>
        <w:rPr>
          <w:rFonts w:hint="eastAsia" w:ascii="宋体" w:hAnsi="宋体" w:cs="宋体"/>
          <w:color w:val="FF0000"/>
          <w:sz w:val="30"/>
          <w:szCs w:val="30"/>
        </w:rPr>
        <w:t xml:space="preserve"> </w:t>
      </w:r>
    </w:p>
    <w:p>
      <w:pPr>
        <w:tabs>
          <w:tab w:val="left" w:pos="1036"/>
        </w:tabs>
        <w:adjustRightInd w:val="0"/>
        <w:snapToGrid w:val="0"/>
        <w:ind w:firstLine="600" w:firstLineChars="200"/>
        <w:rPr>
          <w:rFonts w:ascii="宋体" w:hAnsi="宋体" w:cs="宋体"/>
          <w:sz w:val="30"/>
          <w:szCs w:val="30"/>
        </w:rPr>
      </w:pPr>
      <w:r>
        <w:rPr>
          <w:rFonts w:hint="eastAsia" w:ascii="宋体" w:hAnsi="宋体" w:cs="宋体"/>
          <w:sz w:val="30"/>
          <w:szCs w:val="30"/>
        </w:rPr>
        <w:t>2、报价文件有需要盖章或签署的部分，应由报价人法定代表人或其授权的代理人亲自签署或盖印鉴，并加盖法人单位公章。</w:t>
      </w:r>
    </w:p>
    <w:p>
      <w:pPr>
        <w:tabs>
          <w:tab w:val="left" w:pos="1036"/>
        </w:tabs>
        <w:adjustRightInd w:val="0"/>
        <w:snapToGrid w:val="0"/>
        <w:ind w:firstLine="600" w:firstLineChars="200"/>
        <w:rPr>
          <w:rFonts w:ascii="宋体" w:hAnsi="宋体" w:cs="宋体"/>
          <w:sz w:val="30"/>
          <w:szCs w:val="30"/>
        </w:rPr>
      </w:pPr>
      <w:r>
        <w:rPr>
          <w:rFonts w:hint="eastAsia" w:ascii="宋体" w:hAnsi="宋体" w:cs="宋体"/>
          <w:sz w:val="30"/>
          <w:szCs w:val="30"/>
        </w:rPr>
        <w:t>3、报价人应递交密封的报价文件，无密封的报价文件，采购人将拒绝接收；</w:t>
      </w:r>
    </w:p>
    <w:p>
      <w:pPr>
        <w:ind w:firstLine="600" w:firstLineChars="200"/>
        <w:rPr>
          <w:rFonts w:ascii="宋体" w:hAnsi="宋体" w:cs="宋体"/>
          <w:sz w:val="30"/>
          <w:szCs w:val="30"/>
        </w:rPr>
      </w:pPr>
      <w:r>
        <w:rPr>
          <w:rFonts w:hint="eastAsia" w:ascii="宋体" w:hAnsi="宋体" w:cs="宋体"/>
          <w:sz w:val="30"/>
          <w:szCs w:val="30"/>
        </w:rPr>
        <w:t>4、有如下情况之一者，报价无效：</w:t>
      </w:r>
    </w:p>
    <w:p>
      <w:pPr>
        <w:ind w:firstLine="300" w:firstLineChars="100"/>
        <w:rPr>
          <w:rFonts w:ascii="宋体" w:hAnsi="宋体" w:cs="宋体"/>
          <w:sz w:val="30"/>
          <w:szCs w:val="30"/>
        </w:rPr>
      </w:pPr>
      <w:r>
        <w:rPr>
          <w:rFonts w:hint="eastAsia" w:ascii="宋体" w:hAnsi="宋体" w:cs="宋体"/>
          <w:sz w:val="30"/>
          <w:szCs w:val="30"/>
        </w:rPr>
        <w:t>（1）报价文件未密封和未盖骑缝章；</w:t>
      </w:r>
    </w:p>
    <w:p>
      <w:pPr>
        <w:ind w:firstLine="300" w:firstLineChars="100"/>
        <w:rPr>
          <w:rFonts w:ascii="宋体" w:hAnsi="宋体" w:cs="宋体"/>
          <w:sz w:val="30"/>
          <w:szCs w:val="30"/>
        </w:rPr>
      </w:pPr>
      <w:r>
        <w:rPr>
          <w:rFonts w:hint="eastAsia" w:ascii="宋体" w:hAnsi="宋体" w:cs="宋体"/>
          <w:sz w:val="30"/>
          <w:szCs w:val="30"/>
        </w:rPr>
        <w:t>（2）没有提供营业执照复印件、法人代表授权委托书，或未加盖单位公章；</w:t>
      </w:r>
    </w:p>
    <w:p>
      <w:pPr>
        <w:ind w:firstLine="300" w:firstLineChars="100"/>
        <w:rPr>
          <w:rFonts w:ascii="宋体" w:hAnsi="宋体" w:cs="宋体"/>
          <w:bCs/>
          <w:sz w:val="30"/>
          <w:szCs w:val="30"/>
        </w:rPr>
      </w:pPr>
      <w:r>
        <w:rPr>
          <w:rFonts w:hint="eastAsia" w:ascii="宋体" w:hAnsi="宋体" w:cs="宋体"/>
          <w:sz w:val="30"/>
          <w:szCs w:val="30"/>
        </w:rPr>
        <w:t>（3）提供虚假的资质、业绩等资料。</w:t>
      </w:r>
    </w:p>
    <w:p>
      <w:pPr>
        <w:adjustRightInd w:val="0"/>
        <w:snapToGrid w:val="0"/>
        <w:spacing w:line="360" w:lineRule="auto"/>
        <w:ind w:firstLine="602" w:firstLineChars="200"/>
        <w:rPr>
          <w:rFonts w:ascii="宋体" w:hAnsi="宋体" w:cs="宋体"/>
          <w:b/>
          <w:bCs/>
          <w:sz w:val="30"/>
          <w:szCs w:val="30"/>
        </w:rPr>
      </w:pPr>
      <w:r>
        <w:rPr>
          <w:rFonts w:hint="eastAsia" w:ascii="宋体" w:hAnsi="宋体" w:cs="宋体"/>
          <w:b/>
          <w:bCs/>
          <w:sz w:val="30"/>
          <w:szCs w:val="30"/>
        </w:rPr>
        <w:t>七、评选</w:t>
      </w:r>
    </w:p>
    <w:p>
      <w:pPr>
        <w:spacing w:line="440" w:lineRule="exact"/>
        <w:ind w:firstLine="600" w:firstLineChars="200"/>
        <w:rPr>
          <w:rFonts w:ascii="宋体" w:hAnsi="宋体" w:cs="宋体"/>
          <w:sz w:val="30"/>
          <w:szCs w:val="30"/>
        </w:rPr>
      </w:pPr>
      <w:r>
        <w:rPr>
          <w:rFonts w:hint="eastAsia" w:ascii="宋体" w:hAnsi="宋体" w:cs="宋体"/>
          <w:sz w:val="30"/>
          <w:szCs w:val="30"/>
        </w:rPr>
        <w:t>1、采购单位在收到报价文件后，自行组织评选委员会和评选人员评选，评选人员将按竞价文件的规定对评选情况进行真实记录。</w:t>
      </w:r>
    </w:p>
    <w:p>
      <w:pPr>
        <w:spacing w:line="440" w:lineRule="exact"/>
        <w:ind w:firstLine="600" w:firstLineChars="200"/>
        <w:rPr>
          <w:rFonts w:ascii="宋体" w:hAnsi="宋体" w:cs="宋体"/>
          <w:sz w:val="30"/>
          <w:szCs w:val="30"/>
        </w:rPr>
      </w:pPr>
      <w:r>
        <w:rPr>
          <w:rFonts w:hint="eastAsia" w:ascii="宋体" w:hAnsi="宋体" w:cs="宋体"/>
          <w:sz w:val="30"/>
          <w:szCs w:val="30"/>
        </w:rPr>
        <w:t>2、评选时将对报价单位的资质、施工方案、报价及合理性指标进行综合评定。</w:t>
      </w:r>
    </w:p>
    <w:p>
      <w:pPr>
        <w:spacing w:line="440" w:lineRule="exact"/>
        <w:ind w:firstLine="600" w:firstLineChars="200"/>
        <w:rPr>
          <w:rFonts w:ascii="宋体" w:hAnsi="宋体" w:cs="宋体"/>
          <w:sz w:val="30"/>
          <w:szCs w:val="30"/>
        </w:rPr>
      </w:pPr>
      <w:r>
        <w:rPr>
          <w:rFonts w:hint="eastAsia" w:ascii="宋体" w:hAnsi="宋体" w:cs="宋体"/>
          <w:sz w:val="30"/>
          <w:szCs w:val="30"/>
        </w:rPr>
        <w:t>3、评选办法为：合理最低价</w:t>
      </w:r>
    </w:p>
    <w:p>
      <w:pPr>
        <w:pStyle w:val="27"/>
        <w:snapToGrid w:val="0"/>
        <w:ind w:firstLine="643" w:firstLineChars="200"/>
        <w:rPr>
          <w:rStyle w:val="26"/>
          <w:sz w:val="32"/>
          <w:szCs w:val="32"/>
        </w:rPr>
      </w:pPr>
      <w:r>
        <w:rPr>
          <w:rStyle w:val="26"/>
          <w:rFonts w:hint="eastAsia"/>
          <w:sz w:val="32"/>
          <w:szCs w:val="32"/>
        </w:rPr>
        <w:t>八、报价人报价文件格式</w:t>
      </w:r>
    </w:p>
    <w:p>
      <w:pPr>
        <w:pStyle w:val="18"/>
        <w:ind w:firstLine="480"/>
        <w:rPr>
          <w:rFonts w:ascii="宋体"/>
          <w:bCs/>
          <w:sz w:val="24"/>
        </w:rPr>
      </w:pPr>
    </w:p>
    <w:p>
      <w:pPr>
        <w:pStyle w:val="18"/>
        <w:ind w:firstLine="480"/>
        <w:rPr>
          <w:rFonts w:ascii="宋体"/>
          <w:bCs/>
          <w:sz w:val="24"/>
        </w:rPr>
      </w:pPr>
    </w:p>
    <w:p>
      <w:pPr>
        <w:pStyle w:val="18"/>
        <w:ind w:firstLine="480"/>
        <w:rPr>
          <w:rFonts w:ascii="宋体"/>
          <w:bCs/>
          <w:sz w:val="24"/>
        </w:rPr>
      </w:pPr>
    </w:p>
    <w:p>
      <w:pPr>
        <w:pStyle w:val="18"/>
        <w:ind w:firstLine="480"/>
        <w:rPr>
          <w:rFonts w:ascii="宋体"/>
          <w:bCs/>
          <w:sz w:val="24"/>
        </w:rPr>
      </w:pPr>
    </w:p>
    <w:p>
      <w:pPr>
        <w:pStyle w:val="18"/>
        <w:ind w:firstLine="480"/>
        <w:rPr>
          <w:rFonts w:ascii="宋体"/>
          <w:bCs/>
          <w:sz w:val="24"/>
        </w:rPr>
      </w:pPr>
    </w:p>
    <w:p>
      <w:pPr>
        <w:pStyle w:val="18"/>
        <w:ind w:firstLine="480"/>
        <w:rPr>
          <w:rFonts w:ascii="宋体"/>
          <w:bCs/>
          <w:sz w:val="24"/>
        </w:rPr>
      </w:pPr>
    </w:p>
    <w:p>
      <w:pPr>
        <w:pStyle w:val="18"/>
        <w:ind w:firstLine="480"/>
        <w:rPr>
          <w:rFonts w:ascii="宋体"/>
          <w:bCs/>
          <w:sz w:val="24"/>
        </w:rPr>
      </w:pPr>
    </w:p>
    <w:p>
      <w:pPr>
        <w:pStyle w:val="18"/>
        <w:ind w:firstLine="480"/>
        <w:rPr>
          <w:rFonts w:ascii="宋体"/>
          <w:bCs/>
          <w:sz w:val="24"/>
        </w:rPr>
      </w:pPr>
    </w:p>
    <w:p>
      <w:pPr>
        <w:pStyle w:val="18"/>
        <w:ind w:firstLine="480"/>
        <w:rPr>
          <w:rFonts w:ascii="宋体"/>
          <w:bCs/>
          <w:sz w:val="24"/>
        </w:rPr>
      </w:pPr>
    </w:p>
    <w:p>
      <w:pPr>
        <w:pStyle w:val="18"/>
        <w:ind w:firstLine="480"/>
        <w:rPr>
          <w:rFonts w:ascii="宋体"/>
          <w:bCs/>
          <w:sz w:val="24"/>
        </w:rPr>
      </w:pPr>
    </w:p>
    <w:p>
      <w:pPr>
        <w:pStyle w:val="18"/>
        <w:ind w:firstLine="480"/>
        <w:rPr>
          <w:rFonts w:ascii="宋体"/>
          <w:bCs/>
          <w:sz w:val="24"/>
        </w:rPr>
      </w:pPr>
    </w:p>
    <w:p>
      <w:pPr>
        <w:pStyle w:val="18"/>
        <w:ind w:firstLine="480"/>
        <w:rPr>
          <w:rFonts w:ascii="宋体"/>
          <w:bCs/>
          <w:sz w:val="24"/>
        </w:rPr>
      </w:pPr>
    </w:p>
    <w:p>
      <w:pPr>
        <w:pStyle w:val="18"/>
        <w:ind w:firstLine="480"/>
        <w:rPr>
          <w:rFonts w:ascii="宋体"/>
          <w:bCs/>
          <w:sz w:val="24"/>
        </w:rPr>
      </w:pPr>
    </w:p>
    <w:p>
      <w:pPr>
        <w:pStyle w:val="18"/>
        <w:ind w:firstLine="480"/>
        <w:rPr>
          <w:rFonts w:ascii="宋体"/>
          <w:bCs/>
          <w:sz w:val="24"/>
        </w:rPr>
      </w:pPr>
    </w:p>
    <w:p>
      <w:pPr>
        <w:pStyle w:val="18"/>
        <w:ind w:firstLine="480"/>
        <w:rPr>
          <w:rFonts w:ascii="宋体"/>
          <w:bCs/>
          <w:sz w:val="24"/>
        </w:rPr>
      </w:pPr>
    </w:p>
    <w:p>
      <w:pPr>
        <w:pStyle w:val="18"/>
        <w:ind w:firstLine="480"/>
        <w:rPr>
          <w:rFonts w:ascii="宋体"/>
          <w:bCs/>
          <w:sz w:val="24"/>
        </w:rPr>
      </w:pPr>
    </w:p>
    <w:p>
      <w:pPr>
        <w:pStyle w:val="18"/>
        <w:ind w:firstLine="480"/>
        <w:rPr>
          <w:rFonts w:ascii="宋体"/>
          <w:bCs/>
          <w:sz w:val="24"/>
        </w:rPr>
      </w:pPr>
    </w:p>
    <w:p>
      <w:pPr>
        <w:pStyle w:val="18"/>
        <w:ind w:firstLine="0" w:firstLineChars="0"/>
        <w:rPr>
          <w:rFonts w:ascii="宋体"/>
          <w:bCs/>
          <w:sz w:val="24"/>
        </w:rPr>
      </w:pPr>
    </w:p>
    <w:p>
      <w:pPr>
        <w:pStyle w:val="18"/>
        <w:ind w:firstLine="480"/>
        <w:rPr>
          <w:rFonts w:ascii="宋体"/>
          <w:bCs/>
          <w:sz w:val="24"/>
        </w:rPr>
      </w:pPr>
    </w:p>
    <w:p>
      <w:pPr>
        <w:pStyle w:val="18"/>
        <w:ind w:firstLine="480"/>
        <w:rPr>
          <w:rFonts w:ascii="宋体"/>
          <w:bCs/>
          <w:sz w:val="24"/>
        </w:rPr>
      </w:pPr>
    </w:p>
    <w:p>
      <w:pPr>
        <w:pStyle w:val="18"/>
        <w:ind w:firstLine="480"/>
        <w:rPr>
          <w:rFonts w:ascii="宋体"/>
          <w:bCs/>
          <w:sz w:val="24"/>
        </w:rPr>
      </w:pPr>
    </w:p>
    <w:p>
      <w:pPr>
        <w:pStyle w:val="18"/>
        <w:ind w:firstLine="480"/>
        <w:rPr>
          <w:rFonts w:ascii="宋体"/>
          <w:bCs/>
          <w:sz w:val="24"/>
        </w:rPr>
      </w:pPr>
    </w:p>
    <w:p>
      <w:pPr>
        <w:pStyle w:val="18"/>
        <w:ind w:firstLine="480"/>
        <w:rPr>
          <w:rFonts w:ascii="宋体"/>
          <w:bCs/>
          <w:sz w:val="24"/>
        </w:rPr>
      </w:pPr>
    </w:p>
    <w:p>
      <w:pPr>
        <w:pStyle w:val="18"/>
        <w:ind w:firstLine="480"/>
        <w:rPr>
          <w:rFonts w:ascii="宋体"/>
          <w:bCs/>
          <w:sz w:val="24"/>
        </w:rPr>
      </w:pPr>
    </w:p>
    <w:p>
      <w:pPr>
        <w:pStyle w:val="18"/>
        <w:ind w:firstLine="480"/>
        <w:rPr>
          <w:rFonts w:ascii="宋体"/>
          <w:bCs/>
          <w:sz w:val="24"/>
        </w:rPr>
      </w:pPr>
    </w:p>
    <w:p>
      <w:pPr>
        <w:pStyle w:val="18"/>
        <w:ind w:firstLine="480"/>
        <w:rPr>
          <w:rFonts w:ascii="宋体"/>
          <w:bCs/>
          <w:sz w:val="24"/>
        </w:rPr>
      </w:pPr>
    </w:p>
    <w:p>
      <w:pPr>
        <w:pStyle w:val="18"/>
        <w:ind w:firstLine="480"/>
        <w:rPr>
          <w:rFonts w:ascii="宋体"/>
          <w:bCs/>
          <w:sz w:val="24"/>
        </w:rPr>
      </w:pPr>
    </w:p>
    <w:p>
      <w:pPr>
        <w:pStyle w:val="18"/>
        <w:ind w:firstLine="480"/>
        <w:rPr>
          <w:rFonts w:ascii="宋体"/>
          <w:bCs/>
          <w:sz w:val="24"/>
        </w:rPr>
      </w:pPr>
    </w:p>
    <w:p>
      <w:pPr>
        <w:pStyle w:val="18"/>
        <w:ind w:firstLine="480"/>
        <w:rPr>
          <w:rFonts w:ascii="宋体"/>
          <w:bCs/>
          <w:sz w:val="24"/>
        </w:rPr>
      </w:pPr>
    </w:p>
    <w:p>
      <w:pPr>
        <w:pStyle w:val="18"/>
        <w:ind w:firstLine="480"/>
        <w:rPr>
          <w:rFonts w:ascii="宋体"/>
          <w:bCs/>
          <w:sz w:val="24"/>
        </w:rPr>
      </w:pPr>
    </w:p>
    <w:p>
      <w:pPr>
        <w:jc w:val="center"/>
        <w:rPr>
          <w:rFonts w:ascii="黑体" w:hAnsi="黑体" w:eastAsia="黑体" w:cs="黑体"/>
          <w:sz w:val="44"/>
          <w:szCs w:val="44"/>
        </w:rPr>
      </w:pPr>
      <w:r>
        <w:rPr>
          <w:rFonts w:hint="eastAsia" w:ascii="黑体" w:hAnsi="黑体" w:eastAsia="黑体" w:cs="黑体"/>
          <w:sz w:val="44"/>
          <w:szCs w:val="44"/>
        </w:rPr>
        <w:t>报 价 单</w:t>
      </w:r>
    </w:p>
    <w:p>
      <w:pPr>
        <w:rPr>
          <w:rFonts w:asciiTheme="minorEastAsia" w:hAnsiTheme="minorEastAsia"/>
          <w:sz w:val="22"/>
          <w:szCs w:val="22"/>
        </w:rPr>
      </w:pPr>
      <w:r>
        <w:rPr>
          <w:rFonts w:hint="eastAsia" w:asciiTheme="minorEastAsia" w:hAnsiTheme="minorEastAsia"/>
          <w:sz w:val="22"/>
          <w:szCs w:val="22"/>
        </w:rPr>
        <w:t>安徽中冶淮海装配式建筑有限公司：</w:t>
      </w:r>
    </w:p>
    <w:p>
      <w:pPr>
        <w:ind w:firstLine="440" w:firstLineChars="200"/>
        <w:rPr>
          <w:rFonts w:asciiTheme="minorEastAsia" w:hAnsiTheme="minorEastAsia"/>
          <w:sz w:val="22"/>
          <w:szCs w:val="22"/>
        </w:rPr>
      </w:pPr>
      <w:r>
        <w:rPr>
          <w:rFonts w:hint="eastAsia" w:asciiTheme="minorEastAsia" w:hAnsiTheme="minorEastAsia"/>
          <w:sz w:val="22"/>
          <w:szCs w:val="22"/>
        </w:rPr>
        <w:t>我单位已全面研究</w:t>
      </w:r>
      <w:r>
        <w:rPr>
          <w:rFonts w:hint="eastAsia" w:asciiTheme="minorEastAsia" w:hAnsiTheme="minorEastAsia"/>
          <w:sz w:val="22"/>
          <w:szCs w:val="22"/>
          <w:u w:val="single"/>
        </w:rPr>
        <w:t xml:space="preserve">     箱涵预制及安装劳务作业    </w:t>
      </w:r>
      <w:r>
        <w:rPr>
          <w:rFonts w:hint="eastAsia" w:asciiTheme="minorEastAsia" w:hAnsiTheme="minorEastAsia"/>
          <w:sz w:val="22"/>
          <w:szCs w:val="22"/>
        </w:rPr>
        <w:t>竞价文件，并熟知竞价文件的各项规定，我方同意按竞价文件规定的全部条件进行报价，报价如下：</w:t>
      </w:r>
    </w:p>
    <w:p>
      <w:pPr>
        <w:pStyle w:val="2"/>
        <w:rPr>
          <w:b/>
          <w:bCs/>
          <w:sz w:val="36"/>
          <w:szCs w:val="18"/>
        </w:rPr>
      </w:pPr>
      <w:r>
        <w:rPr>
          <w:rFonts w:hint="eastAsia"/>
          <w:b/>
          <w:bCs/>
          <w:sz w:val="36"/>
          <w:szCs w:val="18"/>
        </w:rPr>
        <w:t>（此报价单为模板，请使用报价单附件报价）</w:t>
      </w:r>
    </w:p>
    <w:tbl>
      <w:tblPr>
        <w:tblStyle w:val="15"/>
        <w:tblpPr w:leftFromText="180" w:rightFromText="180" w:vertAnchor="text" w:horzAnchor="page" w:tblpX="1616" w:tblpY="398"/>
        <w:tblOverlap w:val="never"/>
        <w:tblW w:w="8552" w:type="dxa"/>
        <w:tblInd w:w="0" w:type="dxa"/>
        <w:tblLayout w:type="fixed"/>
        <w:tblCellMar>
          <w:top w:w="0" w:type="dxa"/>
          <w:left w:w="108" w:type="dxa"/>
          <w:bottom w:w="0" w:type="dxa"/>
          <w:right w:w="108" w:type="dxa"/>
        </w:tblCellMar>
      </w:tblPr>
      <w:tblGrid>
        <w:gridCol w:w="676"/>
        <w:gridCol w:w="1925"/>
        <w:gridCol w:w="800"/>
        <w:gridCol w:w="913"/>
        <w:gridCol w:w="1387"/>
        <w:gridCol w:w="1225"/>
        <w:gridCol w:w="1626"/>
      </w:tblGrid>
      <w:tr>
        <w:tblPrEx>
          <w:tblCellMar>
            <w:top w:w="0" w:type="dxa"/>
            <w:left w:w="108" w:type="dxa"/>
            <w:bottom w:w="0" w:type="dxa"/>
            <w:right w:w="108" w:type="dxa"/>
          </w:tblCellMar>
        </w:tblPrEx>
        <w:trPr>
          <w:trHeight w:val="538" w:hRule="atLeast"/>
        </w:trPr>
        <w:tc>
          <w:tcPr>
            <w:tcW w:w="8552" w:type="dxa"/>
            <w:gridSpan w:val="7"/>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cs="宋体"/>
                <w:b/>
                <w:bCs/>
                <w:color w:val="000000"/>
                <w:sz w:val="24"/>
              </w:rPr>
            </w:pPr>
            <w:r>
              <w:rPr>
                <w:rStyle w:val="28"/>
                <w:rFonts w:hint="default"/>
                <w:lang w:bidi="ar"/>
              </w:rPr>
              <w:t xml:space="preserve">项目名称：         </w:t>
            </w:r>
            <w:r>
              <w:rPr>
                <w:rStyle w:val="29"/>
                <w:rFonts w:hint="default"/>
                <w:lang w:bidi="ar"/>
              </w:rPr>
              <w:t>箱涵预制及安装</w:t>
            </w:r>
            <w:r>
              <w:rPr>
                <w:rStyle w:val="28"/>
                <w:rFonts w:hint="default"/>
                <w:lang w:bidi="ar"/>
              </w:rPr>
              <w:t xml:space="preserve">  报价单                                       </w:t>
            </w:r>
          </w:p>
        </w:tc>
      </w:tr>
      <w:tr>
        <w:tblPrEx>
          <w:tblCellMar>
            <w:top w:w="0" w:type="dxa"/>
            <w:left w:w="108" w:type="dxa"/>
            <w:bottom w:w="0" w:type="dxa"/>
            <w:right w:w="108" w:type="dxa"/>
          </w:tblCellMar>
        </w:tblPrEx>
        <w:trPr>
          <w:trHeight w:val="337" w:hRule="atLeast"/>
        </w:trPr>
        <w:tc>
          <w:tcPr>
            <w:tcW w:w="8552" w:type="dxa"/>
            <w:gridSpan w:val="7"/>
            <w:tcBorders>
              <w:top w:val="nil"/>
              <w:left w:val="single" w:color="000000" w:sz="8" w:space="0"/>
              <w:bottom w:val="single" w:color="000000" w:sz="8" w:space="0"/>
              <w:right w:val="single" w:color="000000" w:sz="8" w:space="0"/>
            </w:tcBorders>
            <w:shd w:val="clear" w:color="auto" w:fill="auto"/>
            <w:noWrap/>
            <w:vAlign w:val="center"/>
          </w:tcPr>
          <w:p>
            <w:pPr>
              <w:widowControl/>
              <w:jc w:val="lef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项目地址：  安徽 淮北市             项目负责人：         电话：</w:t>
            </w:r>
          </w:p>
        </w:tc>
      </w:tr>
      <w:tr>
        <w:tblPrEx>
          <w:tblCellMar>
            <w:top w:w="0" w:type="dxa"/>
            <w:left w:w="108" w:type="dxa"/>
            <w:bottom w:w="0" w:type="dxa"/>
            <w:right w:w="108" w:type="dxa"/>
          </w:tblCellMar>
        </w:tblPrEx>
        <w:trPr>
          <w:trHeight w:val="501" w:hRule="atLeast"/>
        </w:trPr>
        <w:tc>
          <w:tcPr>
            <w:tcW w:w="8552" w:type="dxa"/>
            <w:gridSpan w:val="7"/>
            <w:tcBorders>
              <w:top w:val="nil"/>
              <w:left w:val="single" w:color="000000" w:sz="8" w:space="0"/>
              <w:bottom w:val="single" w:color="000000" w:sz="8" w:space="0"/>
              <w:right w:val="single" w:color="000000" w:sz="8" w:space="0"/>
            </w:tcBorders>
            <w:shd w:val="clear" w:color="auto" w:fill="auto"/>
            <w:noWrap/>
            <w:vAlign w:val="center"/>
          </w:tcPr>
          <w:p>
            <w:pPr>
              <w:widowControl/>
              <w:textAlignment w:val="center"/>
              <w:rPr>
                <w:rFonts w:ascii="宋体" w:hAnsi="宋体" w:cs="宋体"/>
                <w:b/>
                <w:bCs/>
                <w:color w:val="000000"/>
                <w:sz w:val="18"/>
                <w:szCs w:val="18"/>
              </w:rPr>
            </w:pPr>
            <w:r>
              <w:rPr>
                <w:rFonts w:hint="eastAsia" w:ascii="宋体" w:hAnsi="宋体" w:cs="宋体"/>
                <w:b/>
                <w:bCs/>
                <w:color w:val="000000"/>
                <w:kern w:val="0"/>
                <w:sz w:val="18"/>
                <w:szCs w:val="18"/>
                <w:lang w:bidi="ar"/>
              </w:rPr>
              <w:t>报价说明：核算价以单元（2米/节)报价，此报价包含甲供材以外的一切辅材，小型机具设备（包含但不限于附着式振动器）、扎丝、垫块、焊条、劳务用餐等间接费用。</w:t>
            </w:r>
          </w:p>
        </w:tc>
      </w:tr>
      <w:tr>
        <w:tblPrEx>
          <w:tblCellMar>
            <w:top w:w="0" w:type="dxa"/>
            <w:left w:w="108" w:type="dxa"/>
            <w:bottom w:w="0" w:type="dxa"/>
            <w:right w:w="108" w:type="dxa"/>
          </w:tblCellMar>
        </w:tblPrEx>
        <w:trPr>
          <w:trHeight w:val="337" w:hRule="atLeast"/>
        </w:trPr>
        <w:tc>
          <w:tcPr>
            <w:tcW w:w="676"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textAlignment w:val="center"/>
              <w:rPr>
                <w:rFonts w:ascii="宋体" w:hAnsi="宋体" w:cs="宋体"/>
                <w:b/>
                <w:bCs/>
                <w:color w:val="000000"/>
                <w:sz w:val="20"/>
                <w:szCs w:val="20"/>
              </w:rPr>
            </w:pPr>
            <w:r>
              <w:rPr>
                <w:rStyle w:val="30"/>
                <w:rFonts w:hint="default"/>
                <w:lang w:bidi="ar"/>
              </w:rPr>
              <w:t>序号</w:t>
            </w:r>
          </w:p>
        </w:tc>
        <w:tc>
          <w:tcPr>
            <w:tcW w:w="1925" w:type="dxa"/>
            <w:tcBorders>
              <w:top w:val="single" w:color="000000" w:sz="8" w:space="0"/>
              <w:left w:val="nil"/>
              <w:bottom w:val="single" w:color="000000" w:sz="8" w:space="0"/>
              <w:right w:val="single" w:color="000000" w:sz="8" w:space="0"/>
            </w:tcBorders>
            <w:shd w:val="clear" w:color="auto" w:fill="auto"/>
            <w:vAlign w:val="center"/>
          </w:tcPr>
          <w:p>
            <w:pPr>
              <w:widowControl/>
              <w:jc w:val="center"/>
              <w:textAlignment w:val="center"/>
              <w:rPr>
                <w:rFonts w:ascii="宋体" w:hAnsi="宋体" w:cs="宋体"/>
                <w:b/>
                <w:bCs/>
                <w:color w:val="000000"/>
                <w:sz w:val="20"/>
                <w:szCs w:val="20"/>
              </w:rPr>
            </w:pPr>
            <w:r>
              <w:rPr>
                <w:rStyle w:val="30"/>
                <w:rFonts w:hint="default"/>
                <w:lang w:bidi="ar"/>
              </w:rPr>
              <w:t>项目</w:t>
            </w:r>
          </w:p>
        </w:tc>
        <w:tc>
          <w:tcPr>
            <w:tcW w:w="800" w:type="dxa"/>
            <w:tcBorders>
              <w:top w:val="single" w:color="000000" w:sz="8" w:space="0"/>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cs="宋体"/>
                <w:b/>
                <w:bCs/>
                <w:color w:val="000000"/>
                <w:sz w:val="20"/>
                <w:szCs w:val="20"/>
              </w:rPr>
            </w:pPr>
            <w:r>
              <w:rPr>
                <w:rStyle w:val="30"/>
                <w:rFonts w:hint="default"/>
                <w:lang w:bidi="ar"/>
              </w:rPr>
              <w:t>单位</w:t>
            </w:r>
          </w:p>
        </w:tc>
        <w:tc>
          <w:tcPr>
            <w:tcW w:w="913" w:type="dxa"/>
            <w:tcBorders>
              <w:top w:val="single" w:color="000000" w:sz="8" w:space="0"/>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cs="宋体"/>
                <w:b/>
                <w:bCs/>
                <w:color w:val="000000"/>
                <w:sz w:val="20"/>
                <w:szCs w:val="20"/>
              </w:rPr>
            </w:pPr>
            <w:r>
              <w:rPr>
                <w:rStyle w:val="30"/>
                <w:rFonts w:hint="default"/>
                <w:lang w:bidi="ar"/>
              </w:rPr>
              <w:t>数量</w:t>
            </w:r>
          </w:p>
        </w:tc>
        <w:tc>
          <w:tcPr>
            <w:tcW w:w="1387" w:type="dxa"/>
            <w:tcBorders>
              <w:top w:val="single" w:color="000000" w:sz="8" w:space="0"/>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cs="宋体"/>
                <w:b/>
                <w:bCs/>
                <w:color w:val="000000"/>
                <w:sz w:val="20"/>
                <w:szCs w:val="20"/>
              </w:rPr>
            </w:pPr>
            <w:r>
              <w:rPr>
                <w:rStyle w:val="30"/>
                <w:rFonts w:hint="default"/>
                <w:lang w:bidi="ar"/>
              </w:rPr>
              <w:t>单价</w:t>
            </w:r>
          </w:p>
        </w:tc>
        <w:tc>
          <w:tcPr>
            <w:tcW w:w="1225" w:type="dxa"/>
            <w:tcBorders>
              <w:top w:val="single" w:color="000000" w:sz="8" w:space="0"/>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cs="宋体"/>
                <w:b/>
                <w:bCs/>
                <w:color w:val="000000"/>
                <w:sz w:val="20"/>
                <w:szCs w:val="20"/>
              </w:rPr>
            </w:pPr>
            <w:r>
              <w:rPr>
                <w:rStyle w:val="30"/>
                <w:rFonts w:hint="default"/>
                <w:lang w:bidi="ar"/>
              </w:rPr>
              <w:t>合价</w:t>
            </w:r>
          </w:p>
        </w:tc>
        <w:tc>
          <w:tcPr>
            <w:tcW w:w="1626" w:type="dxa"/>
            <w:tcBorders>
              <w:top w:val="single" w:color="000000" w:sz="8" w:space="0"/>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cs="宋体"/>
                <w:b/>
                <w:bCs/>
                <w:color w:val="000000"/>
                <w:sz w:val="20"/>
                <w:szCs w:val="20"/>
              </w:rPr>
            </w:pPr>
            <w:r>
              <w:rPr>
                <w:rStyle w:val="30"/>
                <w:rFonts w:hint="default"/>
                <w:lang w:bidi="ar"/>
              </w:rPr>
              <w:t>备注</w:t>
            </w:r>
          </w:p>
        </w:tc>
      </w:tr>
      <w:tr>
        <w:tblPrEx>
          <w:tblCellMar>
            <w:top w:w="0" w:type="dxa"/>
            <w:left w:w="108" w:type="dxa"/>
            <w:bottom w:w="0" w:type="dxa"/>
            <w:right w:w="108" w:type="dxa"/>
          </w:tblCellMar>
        </w:tblPrEx>
        <w:trPr>
          <w:trHeight w:val="287" w:hRule="atLeast"/>
        </w:trPr>
        <w:tc>
          <w:tcPr>
            <w:tcW w:w="676"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textAlignment w:val="center"/>
              <w:rPr>
                <w:rFonts w:ascii="宋体" w:hAnsi="宋体" w:cs="宋体"/>
                <w:b/>
                <w:bCs/>
                <w:color w:val="000000"/>
                <w:sz w:val="20"/>
                <w:szCs w:val="20"/>
              </w:rPr>
            </w:pPr>
            <w:r>
              <w:rPr>
                <w:rStyle w:val="30"/>
                <w:rFonts w:hint="default"/>
                <w:lang w:bidi="ar"/>
              </w:rPr>
              <w:t>一、</w:t>
            </w:r>
          </w:p>
        </w:tc>
        <w:tc>
          <w:tcPr>
            <w:tcW w:w="1925" w:type="dxa"/>
            <w:tcBorders>
              <w:top w:val="nil"/>
              <w:left w:val="nil"/>
              <w:bottom w:val="single" w:color="000000" w:sz="8" w:space="0"/>
              <w:right w:val="single" w:color="000000" w:sz="8" w:space="0"/>
            </w:tcBorders>
            <w:shd w:val="clear" w:color="auto" w:fill="auto"/>
            <w:vAlign w:val="center"/>
          </w:tcPr>
          <w:p>
            <w:pPr>
              <w:widowControl/>
              <w:jc w:val="left"/>
              <w:textAlignment w:val="center"/>
              <w:rPr>
                <w:rFonts w:ascii="黑体" w:hAnsi="宋体" w:eastAsia="黑体" w:cs="黑体"/>
                <w:b/>
                <w:bCs/>
                <w:color w:val="000000"/>
                <w:sz w:val="20"/>
                <w:szCs w:val="20"/>
              </w:rPr>
            </w:pPr>
            <w:r>
              <w:rPr>
                <w:rStyle w:val="31"/>
                <w:rFonts w:hint="default"/>
                <w:lang w:bidi="ar"/>
              </w:rPr>
              <w:t>箱涵制作</w:t>
            </w:r>
          </w:p>
        </w:tc>
        <w:tc>
          <w:tcPr>
            <w:tcW w:w="800" w:type="dxa"/>
            <w:tcBorders>
              <w:top w:val="nil"/>
              <w:left w:val="nil"/>
              <w:bottom w:val="single" w:color="000000" w:sz="8" w:space="0"/>
              <w:right w:val="single" w:color="000000" w:sz="8" w:space="0"/>
            </w:tcBorders>
            <w:shd w:val="clear" w:color="auto" w:fill="auto"/>
            <w:noWrap/>
            <w:vAlign w:val="center"/>
          </w:tcPr>
          <w:p>
            <w:pPr>
              <w:jc w:val="center"/>
              <w:rPr>
                <w:rFonts w:ascii="宋体" w:hAnsi="宋体" w:cs="宋体"/>
                <w:b/>
                <w:bCs/>
                <w:color w:val="FF0000"/>
                <w:sz w:val="20"/>
                <w:szCs w:val="20"/>
              </w:rPr>
            </w:pPr>
          </w:p>
        </w:tc>
        <w:tc>
          <w:tcPr>
            <w:tcW w:w="913" w:type="dxa"/>
            <w:tcBorders>
              <w:top w:val="nil"/>
              <w:left w:val="nil"/>
              <w:bottom w:val="single" w:color="000000" w:sz="8" w:space="0"/>
              <w:right w:val="single" w:color="000000" w:sz="8" w:space="0"/>
            </w:tcBorders>
            <w:shd w:val="clear" w:color="auto" w:fill="auto"/>
            <w:noWrap/>
            <w:vAlign w:val="center"/>
          </w:tcPr>
          <w:p>
            <w:pPr>
              <w:jc w:val="center"/>
              <w:rPr>
                <w:rFonts w:ascii="Times New Roman" w:hAnsi="Times New Roman"/>
                <w:b/>
                <w:bCs/>
                <w:color w:val="FF0000"/>
                <w:sz w:val="20"/>
                <w:szCs w:val="20"/>
              </w:rPr>
            </w:pPr>
          </w:p>
        </w:tc>
        <w:tc>
          <w:tcPr>
            <w:tcW w:w="1387" w:type="dxa"/>
            <w:tcBorders>
              <w:top w:val="nil"/>
              <w:left w:val="nil"/>
              <w:bottom w:val="single" w:color="000000" w:sz="8" w:space="0"/>
              <w:right w:val="single" w:color="000000" w:sz="8" w:space="0"/>
            </w:tcBorders>
            <w:shd w:val="clear" w:color="auto" w:fill="auto"/>
            <w:noWrap/>
            <w:vAlign w:val="center"/>
          </w:tcPr>
          <w:p>
            <w:pPr>
              <w:jc w:val="center"/>
              <w:rPr>
                <w:rFonts w:ascii="宋体" w:hAnsi="宋体" w:cs="宋体"/>
                <w:b/>
                <w:bCs/>
                <w:color w:val="FF0000"/>
                <w:sz w:val="20"/>
                <w:szCs w:val="20"/>
              </w:rPr>
            </w:pPr>
          </w:p>
        </w:tc>
        <w:tc>
          <w:tcPr>
            <w:tcW w:w="1225" w:type="dxa"/>
            <w:tcBorders>
              <w:top w:val="nil"/>
              <w:left w:val="nil"/>
              <w:bottom w:val="single" w:color="000000" w:sz="8" w:space="0"/>
              <w:right w:val="single" w:color="000000" w:sz="8" w:space="0"/>
            </w:tcBorders>
            <w:shd w:val="clear" w:color="auto" w:fill="auto"/>
            <w:noWrap/>
            <w:vAlign w:val="center"/>
          </w:tcPr>
          <w:p>
            <w:pPr>
              <w:jc w:val="center"/>
              <w:rPr>
                <w:rFonts w:ascii="宋体" w:hAnsi="宋体" w:cs="宋体"/>
                <w:b/>
                <w:bCs/>
                <w:color w:val="FF0000"/>
                <w:sz w:val="20"/>
                <w:szCs w:val="20"/>
              </w:rPr>
            </w:pPr>
          </w:p>
        </w:tc>
        <w:tc>
          <w:tcPr>
            <w:tcW w:w="1626" w:type="dxa"/>
            <w:tcBorders>
              <w:top w:val="nil"/>
              <w:left w:val="nil"/>
              <w:bottom w:val="single" w:color="000000" w:sz="8" w:space="0"/>
              <w:right w:val="single" w:color="000000" w:sz="8" w:space="0"/>
            </w:tcBorders>
            <w:shd w:val="clear" w:color="auto" w:fill="auto"/>
            <w:noWrap/>
            <w:vAlign w:val="center"/>
          </w:tcPr>
          <w:p>
            <w:pPr>
              <w:jc w:val="left"/>
              <w:rPr>
                <w:rFonts w:ascii="Times New Roman" w:hAnsi="Times New Roman"/>
                <w:color w:val="FF0000"/>
                <w:sz w:val="20"/>
                <w:szCs w:val="20"/>
              </w:rPr>
            </w:pPr>
          </w:p>
        </w:tc>
      </w:tr>
      <w:tr>
        <w:tblPrEx>
          <w:tblCellMar>
            <w:top w:w="0" w:type="dxa"/>
            <w:left w:w="108" w:type="dxa"/>
            <w:bottom w:w="0" w:type="dxa"/>
            <w:right w:w="108" w:type="dxa"/>
          </w:tblCellMar>
        </w:tblPrEx>
        <w:trPr>
          <w:trHeight w:val="798" w:hRule="atLeast"/>
        </w:trPr>
        <w:tc>
          <w:tcPr>
            <w:tcW w:w="676"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textAlignment w:val="center"/>
              <w:rPr>
                <w:rFonts w:ascii="宋体" w:hAnsi="宋体" w:cs="宋体"/>
                <w:color w:val="000000"/>
                <w:sz w:val="20"/>
                <w:szCs w:val="20"/>
              </w:rPr>
            </w:pPr>
            <w:r>
              <w:rPr>
                <w:rStyle w:val="32"/>
                <w:rFonts w:hint="default"/>
                <w:lang w:bidi="ar"/>
              </w:rPr>
              <w:t>1、</w:t>
            </w:r>
          </w:p>
        </w:tc>
        <w:tc>
          <w:tcPr>
            <w:tcW w:w="1925" w:type="dxa"/>
            <w:tcBorders>
              <w:top w:val="nil"/>
              <w:left w:val="nil"/>
              <w:bottom w:val="single" w:color="000000" w:sz="8" w:space="0"/>
              <w:right w:val="single" w:color="000000" w:sz="8" w:space="0"/>
            </w:tcBorders>
            <w:shd w:val="clear" w:color="auto" w:fill="auto"/>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钢筋卸车、制作加工、绑扎、定位、转运、安装、吊耳加工等</w:t>
            </w:r>
          </w:p>
        </w:tc>
        <w:tc>
          <w:tcPr>
            <w:tcW w:w="800"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cs="宋体"/>
                <w:color w:val="000000"/>
                <w:sz w:val="20"/>
                <w:szCs w:val="20"/>
              </w:rPr>
            </w:pPr>
            <w:r>
              <w:rPr>
                <w:rStyle w:val="32"/>
                <w:rFonts w:hint="default"/>
                <w:lang w:bidi="ar"/>
              </w:rPr>
              <w:t>Kg</w:t>
            </w:r>
          </w:p>
        </w:tc>
        <w:tc>
          <w:tcPr>
            <w:tcW w:w="913"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880.0 </w:t>
            </w:r>
          </w:p>
        </w:tc>
        <w:tc>
          <w:tcPr>
            <w:tcW w:w="1387" w:type="dxa"/>
            <w:tcBorders>
              <w:top w:val="nil"/>
              <w:left w:val="nil"/>
              <w:bottom w:val="single" w:color="000000" w:sz="8" w:space="0"/>
              <w:right w:val="single" w:color="000000" w:sz="8" w:space="0"/>
            </w:tcBorders>
            <w:shd w:val="clear" w:color="auto" w:fill="auto"/>
            <w:noWrap/>
            <w:vAlign w:val="center"/>
          </w:tcPr>
          <w:p>
            <w:pPr>
              <w:jc w:val="center"/>
              <w:rPr>
                <w:rFonts w:ascii="宋体" w:hAnsi="宋体" w:cs="宋体"/>
                <w:color w:val="000000"/>
                <w:sz w:val="20"/>
                <w:szCs w:val="20"/>
              </w:rPr>
            </w:pPr>
          </w:p>
        </w:tc>
        <w:tc>
          <w:tcPr>
            <w:tcW w:w="122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0.0 </w:t>
            </w:r>
          </w:p>
        </w:tc>
        <w:tc>
          <w:tcPr>
            <w:tcW w:w="1626" w:type="dxa"/>
            <w:tcBorders>
              <w:top w:val="nil"/>
              <w:left w:val="nil"/>
              <w:bottom w:val="single" w:color="000000" w:sz="8" w:space="0"/>
              <w:right w:val="single" w:color="000000" w:sz="8" w:space="0"/>
            </w:tcBorders>
            <w:shd w:val="clear" w:color="auto" w:fill="auto"/>
            <w:vAlign w:val="center"/>
          </w:tcPr>
          <w:p>
            <w:pPr>
              <w:widowControl/>
              <w:spacing w:line="360" w:lineRule="exact"/>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绑扎、转运、吊钉、预埋、安装</w:t>
            </w:r>
          </w:p>
        </w:tc>
      </w:tr>
      <w:tr>
        <w:tblPrEx>
          <w:tblCellMar>
            <w:top w:w="0" w:type="dxa"/>
            <w:left w:w="108" w:type="dxa"/>
            <w:bottom w:w="0" w:type="dxa"/>
            <w:right w:w="108" w:type="dxa"/>
          </w:tblCellMar>
        </w:tblPrEx>
        <w:trPr>
          <w:trHeight w:val="798" w:hRule="atLeast"/>
        </w:trPr>
        <w:tc>
          <w:tcPr>
            <w:tcW w:w="676"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textAlignment w:val="center"/>
              <w:rPr>
                <w:rFonts w:ascii="宋体" w:hAnsi="宋体" w:cs="宋体"/>
                <w:color w:val="000000"/>
                <w:sz w:val="20"/>
                <w:szCs w:val="20"/>
              </w:rPr>
            </w:pPr>
            <w:r>
              <w:rPr>
                <w:rStyle w:val="32"/>
                <w:rFonts w:hint="default"/>
                <w:lang w:bidi="ar"/>
              </w:rPr>
              <w:t>2、</w:t>
            </w:r>
          </w:p>
        </w:tc>
        <w:tc>
          <w:tcPr>
            <w:tcW w:w="1925" w:type="dxa"/>
            <w:tcBorders>
              <w:top w:val="nil"/>
              <w:left w:val="nil"/>
              <w:bottom w:val="single" w:color="000000" w:sz="8" w:space="0"/>
              <w:right w:val="single" w:color="000000" w:sz="8" w:space="0"/>
            </w:tcBorders>
            <w:shd w:val="clear" w:color="auto" w:fill="auto"/>
            <w:vAlign w:val="center"/>
          </w:tcPr>
          <w:p>
            <w:pPr>
              <w:widowControl/>
              <w:jc w:val="left"/>
              <w:textAlignment w:val="center"/>
              <w:rPr>
                <w:rFonts w:ascii="宋体" w:hAnsi="宋体" w:cs="宋体"/>
                <w:color w:val="000000"/>
                <w:sz w:val="20"/>
                <w:szCs w:val="20"/>
              </w:rPr>
            </w:pPr>
            <w:r>
              <w:rPr>
                <w:rStyle w:val="32"/>
                <w:rFonts w:hint="default"/>
                <w:lang w:bidi="ar"/>
              </w:rPr>
              <w:t>辅材</w:t>
            </w:r>
          </w:p>
        </w:tc>
        <w:tc>
          <w:tcPr>
            <w:tcW w:w="800"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cs="宋体"/>
                <w:color w:val="000000"/>
                <w:sz w:val="20"/>
                <w:szCs w:val="20"/>
              </w:rPr>
            </w:pPr>
            <w:r>
              <w:rPr>
                <w:rStyle w:val="32"/>
                <w:rFonts w:hint="default"/>
                <w:lang w:bidi="ar"/>
              </w:rPr>
              <w:t>米</w:t>
            </w:r>
          </w:p>
        </w:tc>
        <w:tc>
          <w:tcPr>
            <w:tcW w:w="913"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2.0 </w:t>
            </w:r>
          </w:p>
        </w:tc>
        <w:tc>
          <w:tcPr>
            <w:tcW w:w="1387" w:type="dxa"/>
            <w:tcBorders>
              <w:top w:val="nil"/>
              <w:left w:val="nil"/>
              <w:bottom w:val="single" w:color="000000" w:sz="8" w:space="0"/>
              <w:right w:val="single" w:color="000000" w:sz="8" w:space="0"/>
            </w:tcBorders>
            <w:shd w:val="clear" w:color="auto" w:fill="auto"/>
            <w:noWrap/>
            <w:vAlign w:val="center"/>
          </w:tcPr>
          <w:p>
            <w:pPr>
              <w:jc w:val="center"/>
              <w:rPr>
                <w:rFonts w:ascii="宋体" w:hAnsi="宋体" w:cs="宋体"/>
                <w:color w:val="000000"/>
                <w:sz w:val="20"/>
                <w:szCs w:val="20"/>
              </w:rPr>
            </w:pPr>
          </w:p>
        </w:tc>
        <w:tc>
          <w:tcPr>
            <w:tcW w:w="122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0.0 </w:t>
            </w:r>
          </w:p>
        </w:tc>
        <w:tc>
          <w:tcPr>
            <w:tcW w:w="1626" w:type="dxa"/>
            <w:tcBorders>
              <w:top w:val="nil"/>
              <w:left w:val="nil"/>
              <w:bottom w:val="single" w:color="000000" w:sz="8" w:space="0"/>
              <w:right w:val="single" w:color="000000" w:sz="8" w:space="0"/>
            </w:tcBorders>
            <w:shd w:val="clear" w:color="auto" w:fill="auto"/>
            <w:vAlign w:val="center"/>
          </w:tcPr>
          <w:p>
            <w:pPr>
              <w:widowControl/>
              <w:spacing w:line="360" w:lineRule="exact"/>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扎丝、垫块，构件预制用密封胶、结构胶、双面胶</w:t>
            </w:r>
          </w:p>
        </w:tc>
      </w:tr>
      <w:tr>
        <w:tblPrEx>
          <w:tblCellMar>
            <w:top w:w="0" w:type="dxa"/>
            <w:left w:w="108" w:type="dxa"/>
            <w:bottom w:w="0" w:type="dxa"/>
            <w:right w:w="108" w:type="dxa"/>
          </w:tblCellMar>
        </w:tblPrEx>
        <w:trPr>
          <w:trHeight w:val="538" w:hRule="atLeast"/>
        </w:trPr>
        <w:tc>
          <w:tcPr>
            <w:tcW w:w="676"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textAlignment w:val="center"/>
              <w:rPr>
                <w:rFonts w:ascii="宋体" w:hAnsi="宋体" w:cs="宋体"/>
                <w:color w:val="000000"/>
                <w:sz w:val="20"/>
                <w:szCs w:val="20"/>
              </w:rPr>
            </w:pPr>
            <w:r>
              <w:rPr>
                <w:rStyle w:val="32"/>
                <w:rFonts w:hint="default"/>
                <w:lang w:bidi="ar"/>
              </w:rPr>
              <w:t>3、</w:t>
            </w:r>
          </w:p>
        </w:tc>
        <w:tc>
          <w:tcPr>
            <w:tcW w:w="1925" w:type="dxa"/>
            <w:tcBorders>
              <w:top w:val="nil"/>
              <w:left w:val="nil"/>
              <w:bottom w:val="single" w:color="000000" w:sz="8" w:space="0"/>
              <w:right w:val="single" w:color="000000" w:sz="8" w:space="0"/>
            </w:tcBorders>
            <w:shd w:val="clear" w:color="auto" w:fill="auto"/>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模板安装、转运、二次转运</w:t>
            </w:r>
          </w:p>
        </w:tc>
        <w:tc>
          <w:tcPr>
            <w:tcW w:w="800"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cs="宋体"/>
                <w:color w:val="000000"/>
                <w:sz w:val="20"/>
                <w:szCs w:val="20"/>
              </w:rPr>
            </w:pPr>
            <w:r>
              <w:rPr>
                <w:rStyle w:val="32"/>
                <w:rFonts w:hint="default"/>
                <w:lang w:bidi="ar"/>
              </w:rPr>
              <w:t>工日</w:t>
            </w:r>
          </w:p>
        </w:tc>
        <w:tc>
          <w:tcPr>
            <w:tcW w:w="913"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2.2 </w:t>
            </w:r>
          </w:p>
        </w:tc>
        <w:tc>
          <w:tcPr>
            <w:tcW w:w="1387" w:type="dxa"/>
            <w:tcBorders>
              <w:top w:val="nil"/>
              <w:left w:val="nil"/>
              <w:bottom w:val="single" w:color="000000" w:sz="8" w:space="0"/>
              <w:right w:val="single" w:color="000000" w:sz="8" w:space="0"/>
            </w:tcBorders>
            <w:shd w:val="clear" w:color="auto" w:fill="auto"/>
            <w:noWrap/>
            <w:vAlign w:val="center"/>
          </w:tcPr>
          <w:p>
            <w:pPr>
              <w:jc w:val="center"/>
              <w:rPr>
                <w:rFonts w:ascii="宋体" w:hAnsi="宋体" w:cs="宋体"/>
                <w:color w:val="000000"/>
                <w:sz w:val="20"/>
                <w:szCs w:val="20"/>
              </w:rPr>
            </w:pPr>
          </w:p>
        </w:tc>
        <w:tc>
          <w:tcPr>
            <w:tcW w:w="122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0.0 </w:t>
            </w:r>
          </w:p>
        </w:tc>
        <w:tc>
          <w:tcPr>
            <w:tcW w:w="1626" w:type="dxa"/>
            <w:tcBorders>
              <w:top w:val="nil"/>
              <w:left w:val="nil"/>
              <w:bottom w:val="single" w:color="000000" w:sz="8" w:space="0"/>
              <w:right w:val="single" w:color="000000" w:sz="8" w:space="0"/>
            </w:tcBorders>
            <w:shd w:val="clear" w:color="auto" w:fill="auto"/>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含模具缝隙封堵</w:t>
            </w:r>
          </w:p>
        </w:tc>
      </w:tr>
      <w:tr>
        <w:tblPrEx>
          <w:tblCellMar>
            <w:top w:w="0" w:type="dxa"/>
            <w:left w:w="108" w:type="dxa"/>
            <w:bottom w:w="0" w:type="dxa"/>
            <w:right w:w="108" w:type="dxa"/>
          </w:tblCellMar>
        </w:tblPrEx>
        <w:trPr>
          <w:trHeight w:val="538" w:hRule="atLeast"/>
        </w:trPr>
        <w:tc>
          <w:tcPr>
            <w:tcW w:w="676"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textAlignment w:val="center"/>
              <w:rPr>
                <w:rFonts w:ascii="宋体" w:hAnsi="宋体" w:cs="宋体"/>
                <w:color w:val="000000"/>
                <w:sz w:val="20"/>
                <w:szCs w:val="20"/>
              </w:rPr>
            </w:pPr>
            <w:r>
              <w:rPr>
                <w:rStyle w:val="32"/>
                <w:rFonts w:hint="default"/>
                <w:lang w:bidi="ar"/>
              </w:rPr>
              <w:t>4、</w:t>
            </w:r>
          </w:p>
        </w:tc>
        <w:tc>
          <w:tcPr>
            <w:tcW w:w="1925" w:type="dxa"/>
            <w:tcBorders>
              <w:top w:val="nil"/>
              <w:left w:val="nil"/>
              <w:bottom w:val="single" w:color="000000" w:sz="8" w:space="0"/>
              <w:right w:val="single" w:color="000000" w:sz="8" w:space="0"/>
            </w:tcBorders>
            <w:shd w:val="clear" w:color="auto" w:fill="auto"/>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模具拆除、清理、保养、涂刷脱模剂</w:t>
            </w:r>
          </w:p>
        </w:tc>
        <w:tc>
          <w:tcPr>
            <w:tcW w:w="800"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cs="宋体"/>
                <w:color w:val="000000"/>
                <w:sz w:val="20"/>
                <w:szCs w:val="20"/>
              </w:rPr>
            </w:pPr>
            <w:r>
              <w:rPr>
                <w:rStyle w:val="32"/>
                <w:rFonts w:hint="default"/>
                <w:lang w:bidi="ar"/>
              </w:rPr>
              <w:t>工日</w:t>
            </w:r>
          </w:p>
        </w:tc>
        <w:tc>
          <w:tcPr>
            <w:tcW w:w="913"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2.2 </w:t>
            </w:r>
          </w:p>
        </w:tc>
        <w:tc>
          <w:tcPr>
            <w:tcW w:w="1387" w:type="dxa"/>
            <w:tcBorders>
              <w:top w:val="nil"/>
              <w:left w:val="nil"/>
              <w:bottom w:val="single" w:color="000000" w:sz="8" w:space="0"/>
              <w:right w:val="single" w:color="000000" w:sz="8" w:space="0"/>
            </w:tcBorders>
            <w:shd w:val="clear" w:color="auto" w:fill="auto"/>
            <w:noWrap/>
            <w:vAlign w:val="center"/>
          </w:tcPr>
          <w:p>
            <w:pPr>
              <w:jc w:val="center"/>
              <w:rPr>
                <w:rFonts w:ascii="宋体" w:hAnsi="宋体" w:cs="宋体"/>
                <w:color w:val="000000"/>
                <w:sz w:val="20"/>
                <w:szCs w:val="20"/>
              </w:rPr>
            </w:pPr>
          </w:p>
        </w:tc>
        <w:tc>
          <w:tcPr>
            <w:tcW w:w="122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0.0 </w:t>
            </w:r>
          </w:p>
        </w:tc>
        <w:tc>
          <w:tcPr>
            <w:tcW w:w="1626" w:type="dxa"/>
            <w:tcBorders>
              <w:top w:val="nil"/>
              <w:left w:val="nil"/>
              <w:bottom w:val="single" w:color="000000" w:sz="8" w:space="0"/>
              <w:right w:val="single" w:color="000000" w:sz="8" w:space="0"/>
            </w:tcBorders>
            <w:shd w:val="clear" w:color="auto" w:fill="auto"/>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脱模剂甲供</w:t>
            </w:r>
          </w:p>
        </w:tc>
      </w:tr>
      <w:tr>
        <w:tblPrEx>
          <w:tblCellMar>
            <w:top w:w="0" w:type="dxa"/>
            <w:left w:w="108" w:type="dxa"/>
            <w:bottom w:w="0" w:type="dxa"/>
            <w:right w:w="108" w:type="dxa"/>
          </w:tblCellMar>
        </w:tblPrEx>
        <w:trPr>
          <w:trHeight w:val="798" w:hRule="atLeast"/>
        </w:trPr>
        <w:tc>
          <w:tcPr>
            <w:tcW w:w="676"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textAlignment w:val="center"/>
              <w:rPr>
                <w:rFonts w:ascii="宋体" w:hAnsi="宋体" w:cs="宋体"/>
                <w:color w:val="000000"/>
                <w:sz w:val="20"/>
                <w:szCs w:val="20"/>
              </w:rPr>
            </w:pPr>
            <w:r>
              <w:rPr>
                <w:rStyle w:val="32"/>
                <w:rFonts w:hint="default"/>
                <w:lang w:bidi="ar"/>
              </w:rPr>
              <w:t>5、</w:t>
            </w:r>
          </w:p>
        </w:tc>
        <w:tc>
          <w:tcPr>
            <w:tcW w:w="1925" w:type="dxa"/>
            <w:tcBorders>
              <w:top w:val="nil"/>
              <w:left w:val="nil"/>
              <w:bottom w:val="single" w:color="000000" w:sz="8" w:space="0"/>
              <w:right w:val="single" w:color="000000" w:sz="8" w:space="0"/>
            </w:tcBorders>
            <w:shd w:val="clear" w:color="auto" w:fill="auto"/>
            <w:vAlign w:val="center"/>
          </w:tcPr>
          <w:p>
            <w:pPr>
              <w:widowControl/>
              <w:jc w:val="left"/>
              <w:textAlignment w:val="center"/>
              <w:rPr>
                <w:rFonts w:ascii="宋体" w:hAnsi="宋体" w:cs="宋体"/>
                <w:color w:val="000000"/>
                <w:sz w:val="20"/>
                <w:szCs w:val="20"/>
              </w:rPr>
            </w:pPr>
            <w:r>
              <w:rPr>
                <w:rStyle w:val="32"/>
                <w:rFonts w:hint="default"/>
                <w:lang w:bidi="ar"/>
              </w:rPr>
              <w:t>混凝土浇筑、试块制作</w:t>
            </w:r>
          </w:p>
        </w:tc>
        <w:tc>
          <w:tcPr>
            <w:tcW w:w="800"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cs="宋体"/>
                <w:color w:val="000000"/>
                <w:sz w:val="20"/>
                <w:szCs w:val="20"/>
              </w:rPr>
            </w:pPr>
            <w:r>
              <w:rPr>
                <w:rStyle w:val="32"/>
                <w:rFonts w:hint="default"/>
                <w:lang w:bidi="ar"/>
              </w:rPr>
              <w:t>m3</w:t>
            </w:r>
          </w:p>
        </w:tc>
        <w:tc>
          <w:tcPr>
            <w:tcW w:w="913"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8.0 </w:t>
            </w:r>
          </w:p>
        </w:tc>
        <w:tc>
          <w:tcPr>
            <w:tcW w:w="1387" w:type="dxa"/>
            <w:tcBorders>
              <w:top w:val="nil"/>
              <w:left w:val="nil"/>
              <w:bottom w:val="single" w:color="000000" w:sz="8" w:space="0"/>
              <w:right w:val="single" w:color="000000" w:sz="8" w:space="0"/>
            </w:tcBorders>
            <w:shd w:val="clear" w:color="auto" w:fill="auto"/>
            <w:noWrap/>
            <w:vAlign w:val="center"/>
          </w:tcPr>
          <w:p>
            <w:pPr>
              <w:jc w:val="center"/>
              <w:rPr>
                <w:rFonts w:ascii="宋体" w:hAnsi="宋体" w:cs="宋体"/>
                <w:color w:val="000000"/>
                <w:sz w:val="20"/>
                <w:szCs w:val="20"/>
              </w:rPr>
            </w:pPr>
          </w:p>
        </w:tc>
        <w:tc>
          <w:tcPr>
            <w:tcW w:w="122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0.0 </w:t>
            </w:r>
          </w:p>
        </w:tc>
        <w:tc>
          <w:tcPr>
            <w:tcW w:w="1626" w:type="dxa"/>
            <w:tcBorders>
              <w:top w:val="nil"/>
              <w:left w:val="nil"/>
              <w:bottom w:val="single" w:color="000000" w:sz="8" w:space="0"/>
              <w:right w:val="single" w:color="000000" w:sz="8" w:space="0"/>
            </w:tcBorders>
            <w:shd w:val="clear" w:color="auto" w:fill="auto"/>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灌车送砼至周转料斗，行车吊运送砼，人工配合.</w:t>
            </w:r>
          </w:p>
        </w:tc>
      </w:tr>
      <w:tr>
        <w:tblPrEx>
          <w:tblCellMar>
            <w:top w:w="0" w:type="dxa"/>
            <w:left w:w="108" w:type="dxa"/>
            <w:bottom w:w="0" w:type="dxa"/>
            <w:right w:w="108" w:type="dxa"/>
          </w:tblCellMar>
        </w:tblPrEx>
        <w:trPr>
          <w:trHeight w:val="538" w:hRule="atLeast"/>
        </w:trPr>
        <w:tc>
          <w:tcPr>
            <w:tcW w:w="676"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textAlignment w:val="center"/>
              <w:rPr>
                <w:rFonts w:ascii="宋体" w:hAnsi="宋体" w:cs="宋体"/>
                <w:color w:val="000000"/>
                <w:sz w:val="20"/>
                <w:szCs w:val="20"/>
              </w:rPr>
            </w:pPr>
            <w:r>
              <w:rPr>
                <w:rStyle w:val="32"/>
                <w:rFonts w:hint="default"/>
                <w:lang w:bidi="ar"/>
              </w:rPr>
              <w:t>6、</w:t>
            </w:r>
          </w:p>
        </w:tc>
        <w:tc>
          <w:tcPr>
            <w:tcW w:w="1925" w:type="dxa"/>
            <w:tcBorders>
              <w:top w:val="nil"/>
              <w:left w:val="nil"/>
              <w:bottom w:val="single" w:color="000000" w:sz="8" w:space="0"/>
              <w:right w:val="single" w:color="000000" w:sz="8" w:space="0"/>
            </w:tcBorders>
            <w:shd w:val="clear" w:color="auto" w:fill="auto"/>
            <w:vAlign w:val="center"/>
          </w:tcPr>
          <w:p>
            <w:pPr>
              <w:widowControl/>
              <w:jc w:val="left"/>
              <w:textAlignment w:val="center"/>
              <w:rPr>
                <w:rFonts w:ascii="宋体" w:hAnsi="宋体" w:cs="宋体"/>
                <w:color w:val="000000"/>
                <w:sz w:val="20"/>
                <w:szCs w:val="20"/>
              </w:rPr>
            </w:pPr>
            <w:r>
              <w:rPr>
                <w:rStyle w:val="32"/>
                <w:rFonts w:hint="default"/>
                <w:lang w:bidi="ar"/>
              </w:rPr>
              <w:t>封口清理、砂光、</w:t>
            </w:r>
            <w:r>
              <w:rPr>
                <w:rStyle w:val="32"/>
                <w:rFonts w:hint="default"/>
                <w:lang w:val="zh-CN" w:bidi="ar"/>
              </w:rPr>
              <w:t>编码喷涂</w:t>
            </w:r>
            <w:r>
              <w:rPr>
                <w:rStyle w:val="32"/>
                <w:rFonts w:hint="default"/>
                <w:lang w:bidi="ar"/>
              </w:rPr>
              <w:t>、场地清理等</w:t>
            </w:r>
          </w:p>
        </w:tc>
        <w:tc>
          <w:tcPr>
            <w:tcW w:w="800"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cs="宋体"/>
                <w:color w:val="000000"/>
                <w:sz w:val="20"/>
                <w:szCs w:val="20"/>
              </w:rPr>
            </w:pPr>
            <w:r>
              <w:rPr>
                <w:rStyle w:val="32"/>
                <w:rFonts w:hint="default"/>
                <w:lang w:bidi="ar"/>
              </w:rPr>
              <w:t>只</w:t>
            </w:r>
          </w:p>
        </w:tc>
        <w:tc>
          <w:tcPr>
            <w:tcW w:w="913"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1.0 </w:t>
            </w:r>
          </w:p>
        </w:tc>
        <w:tc>
          <w:tcPr>
            <w:tcW w:w="1387" w:type="dxa"/>
            <w:tcBorders>
              <w:top w:val="nil"/>
              <w:left w:val="nil"/>
              <w:bottom w:val="single" w:color="000000" w:sz="8" w:space="0"/>
              <w:right w:val="single" w:color="000000" w:sz="8" w:space="0"/>
            </w:tcBorders>
            <w:shd w:val="clear" w:color="auto" w:fill="auto"/>
            <w:noWrap/>
            <w:vAlign w:val="center"/>
          </w:tcPr>
          <w:p>
            <w:pPr>
              <w:jc w:val="center"/>
              <w:rPr>
                <w:rFonts w:ascii="宋体" w:hAnsi="宋体" w:cs="宋体"/>
                <w:color w:val="000000"/>
                <w:sz w:val="20"/>
                <w:szCs w:val="20"/>
              </w:rPr>
            </w:pPr>
          </w:p>
        </w:tc>
        <w:tc>
          <w:tcPr>
            <w:tcW w:w="122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0.0 </w:t>
            </w:r>
          </w:p>
        </w:tc>
        <w:tc>
          <w:tcPr>
            <w:tcW w:w="1626" w:type="dxa"/>
            <w:tcBorders>
              <w:top w:val="nil"/>
              <w:left w:val="nil"/>
              <w:bottom w:val="single" w:color="000000" w:sz="8" w:space="0"/>
              <w:right w:val="single" w:color="000000" w:sz="8" w:space="0"/>
            </w:tcBorders>
            <w:shd w:val="clear" w:color="auto" w:fill="auto"/>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含修补</w:t>
            </w:r>
          </w:p>
        </w:tc>
      </w:tr>
      <w:tr>
        <w:tblPrEx>
          <w:tblCellMar>
            <w:top w:w="0" w:type="dxa"/>
            <w:left w:w="108" w:type="dxa"/>
            <w:bottom w:w="0" w:type="dxa"/>
            <w:right w:w="108" w:type="dxa"/>
          </w:tblCellMar>
        </w:tblPrEx>
        <w:trPr>
          <w:trHeight w:val="538" w:hRule="atLeast"/>
        </w:trPr>
        <w:tc>
          <w:tcPr>
            <w:tcW w:w="676"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textAlignment w:val="center"/>
              <w:rPr>
                <w:rFonts w:ascii="宋体" w:hAnsi="宋体" w:cs="宋体"/>
                <w:color w:val="000000"/>
                <w:sz w:val="20"/>
                <w:szCs w:val="20"/>
              </w:rPr>
            </w:pPr>
            <w:r>
              <w:rPr>
                <w:rStyle w:val="32"/>
                <w:rFonts w:hint="default"/>
                <w:lang w:bidi="ar"/>
              </w:rPr>
              <w:t>7、</w:t>
            </w:r>
          </w:p>
        </w:tc>
        <w:tc>
          <w:tcPr>
            <w:tcW w:w="1925" w:type="dxa"/>
            <w:tcBorders>
              <w:top w:val="nil"/>
              <w:left w:val="nil"/>
              <w:bottom w:val="single" w:color="000000" w:sz="8" w:space="0"/>
              <w:right w:val="single" w:color="000000" w:sz="8" w:space="0"/>
            </w:tcBorders>
            <w:shd w:val="clear" w:color="auto" w:fill="auto"/>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日常养护</w:t>
            </w:r>
          </w:p>
        </w:tc>
        <w:tc>
          <w:tcPr>
            <w:tcW w:w="800"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cs="宋体"/>
                <w:color w:val="000000"/>
                <w:sz w:val="20"/>
                <w:szCs w:val="20"/>
              </w:rPr>
            </w:pPr>
            <w:r>
              <w:rPr>
                <w:rStyle w:val="32"/>
                <w:rFonts w:hint="default"/>
                <w:lang w:bidi="ar"/>
              </w:rPr>
              <w:t>只</w:t>
            </w:r>
          </w:p>
        </w:tc>
        <w:tc>
          <w:tcPr>
            <w:tcW w:w="913"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1.0 </w:t>
            </w:r>
          </w:p>
        </w:tc>
        <w:tc>
          <w:tcPr>
            <w:tcW w:w="1387" w:type="dxa"/>
            <w:tcBorders>
              <w:top w:val="nil"/>
              <w:left w:val="nil"/>
              <w:bottom w:val="single" w:color="000000" w:sz="8" w:space="0"/>
              <w:right w:val="single" w:color="000000" w:sz="8" w:space="0"/>
            </w:tcBorders>
            <w:shd w:val="clear" w:color="auto" w:fill="auto"/>
            <w:noWrap/>
            <w:vAlign w:val="center"/>
          </w:tcPr>
          <w:p>
            <w:pPr>
              <w:jc w:val="center"/>
              <w:rPr>
                <w:rFonts w:ascii="宋体" w:hAnsi="宋体" w:cs="宋体"/>
                <w:color w:val="000000"/>
                <w:sz w:val="20"/>
                <w:szCs w:val="20"/>
              </w:rPr>
            </w:pPr>
          </w:p>
        </w:tc>
        <w:tc>
          <w:tcPr>
            <w:tcW w:w="122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0.0 </w:t>
            </w:r>
          </w:p>
        </w:tc>
        <w:tc>
          <w:tcPr>
            <w:tcW w:w="1626" w:type="dxa"/>
            <w:tcBorders>
              <w:top w:val="nil"/>
              <w:left w:val="nil"/>
              <w:bottom w:val="single" w:color="000000" w:sz="8" w:space="0"/>
              <w:right w:val="single" w:color="000000" w:sz="8" w:space="0"/>
            </w:tcBorders>
            <w:shd w:val="clear" w:color="auto" w:fill="auto"/>
            <w:vAlign w:val="center"/>
          </w:tcPr>
          <w:p>
            <w:pPr>
              <w:widowControl/>
              <w:textAlignment w:val="center"/>
              <w:rPr>
                <w:rFonts w:ascii="宋体" w:hAnsi="宋体" w:cs="宋体"/>
                <w:color w:val="000000"/>
                <w:sz w:val="16"/>
                <w:szCs w:val="16"/>
              </w:rPr>
            </w:pPr>
            <w:r>
              <w:rPr>
                <w:rFonts w:hint="eastAsia" w:ascii="宋体" w:hAnsi="宋体" w:cs="宋体"/>
                <w:color w:val="000000"/>
                <w:kern w:val="0"/>
                <w:sz w:val="16"/>
                <w:szCs w:val="16"/>
                <w:lang w:bidi="ar"/>
              </w:rPr>
              <w:t>含洒水、覆盖等，水管配件</w:t>
            </w:r>
          </w:p>
        </w:tc>
      </w:tr>
      <w:tr>
        <w:tblPrEx>
          <w:tblCellMar>
            <w:top w:w="0" w:type="dxa"/>
            <w:left w:w="108" w:type="dxa"/>
            <w:bottom w:w="0" w:type="dxa"/>
            <w:right w:w="108" w:type="dxa"/>
          </w:tblCellMar>
        </w:tblPrEx>
        <w:trPr>
          <w:trHeight w:val="364" w:hRule="atLeast"/>
        </w:trPr>
        <w:tc>
          <w:tcPr>
            <w:tcW w:w="676"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textAlignment w:val="center"/>
              <w:rPr>
                <w:rFonts w:ascii="宋体" w:hAnsi="宋体" w:cs="宋体"/>
                <w:color w:val="000000"/>
                <w:sz w:val="20"/>
                <w:szCs w:val="20"/>
              </w:rPr>
            </w:pPr>
            <w:r>
              <w:rPr>
                <w:rStyle w:val="32"/>
                <w:rFonts w:hint="default"/>
                <w:lang w:bidi="ar"/>
              </w:rPr>
              <w:t>二</w:t>
            </w:r>
          </w:p>
        </w:tc>
        <w:tc>
          <w:tcPr>
            <w:tcW w:w="1925" w:type="dxa"/>
            <w:tcBorders>
              <w:top w:val="nil"/>
              <w:left w:val="nil"/>
              <w:bottom w:val="single" w:color="000000" w:sz="8" w:space="0"/>
              <w:right w:val="single" w:color="000000" w:sz="8" w:space="0"/>
            </w:tcBorders>
            <w:shd w:val="clear" w:color="auto" w:fill="auto"/>
            <w:vAlign w:val="center"/>
          </w:tcPr>
          <w:p>
            <w:pPr>
              <w:widowControl/>
              <w:jc w:val="left"/>
              <w:textAlignment w:val="center"/>
              <w:rPr>
                <w:rFonts w:ascii="宋体" w:hAnsi="宋体" w:cs="宋体"/>
                <w:b/>
                <w:bCs/>
                <w:color w:val="000000"/>
                <w:sz w:val="20"/>
                <w:szCs w:val="20"/>
              </w:rPr>
            </w:pPr>
            <w:r>
              <w:rPr>
                <w:rStyle w:val="30"/>
                <w:rFonts w:hint="default"/>
                <w:lang w:bidi="ar"/>
              </w:rPr>
              <w:t>转运及安装</w:t>
            </w:r>
          </w:p>
        </w:tc>
        <w:tc>
          <w:tcPr>
            <w:tcW w:w="800" w:type="dxa"/>
            <w:tcBorders>
              <w:top w:val="nil"/>
              <w:left w:val="nil"/>
              <w:bottom w:val="single" w:color="000000" w:sz="8" w:space="0"/>
              <w:right w:val="single" w:color="000000" w:sz="8" w:space="0"/>
            </w:tcBorders>
            <w:shd w:val="clear" w:color="auto" w:fill="auto"/>
            <w:noWrap/>
            <w:vAlign w:val="center"/>
          </w:tcPr>
          <w:p>
            <w:pPr>
              <w:jc w:val="center"/>
              <w:rPr>
                <w:rFonts w:ascii="Times New Roman" w:hAnsi="Times New Roman"/>
                <w:color w:val="000000"/>
                <w:sz w:val="20"/>
                <w:szCs w:val="20"/>
              </w:rPr>
            </w:pPr>
          </w:p>
        </w:tc>
        <w:tc>
          <w:tcPr>
            <w:tcW w:w="913" w:type="dxa"/>
            <w:tcBorders>
              <w:top w:val="nil"/>
              <w:left w:val="nil"/>
              <w:bottom w:val="single" w:color="000000" w:sz="8" w:space="0"/>
              <w:right w:val="single" w:color="000000" w:sz="8" w:space="0"/>
            </w:tcBorders>
            <w:shd w:val="clear" w:color="auto" w:fill="auto"/>
            <w:noWrap/>
            <w:vAlign w:val="center"/>
          </w:tcPr>
          <w:p>
            <w:pPr>
              <w:jc w:val="center"/>
              <w:rPr>
                <w:rFonts w:ascii="宋体" w:hAnsi="宋体" w:cs="宋体"/>
                <w:color w:val="000000"/>
                <w:sz w:val="20"/>
                <w:szCs w:val="20"/>
              </w:rPr>
            </w:pPr>
          </w:p>
        </w:tc>
        <w:tc>
          <w:tcPr>
            <w:tcW w:w="1387" w:type="dxa"/>
            <w:tcBorders>
              <w:top w:val="nil"/>
              <w:left w:val="nil"/>
              <w:bottom w:val="single" w:color="000000" w:sz="8" w:space="0"/>
              <w:right w:val="single" w:color="000000" w:sz="8" w:space="0"/>
            </w:tcBorders>
            <w:shd w:val="clear" w:color="auto" w:fill="auto"/>
            <w:noWrap/>
            <w:vAlign w:val="center"/>
          </w:tcPr>
          <w:p>
            <w:pPr>
              <w:jc w:val="center"/>
              <w:rPr>
                <w:rFonts w:ascii="宋体" w:hAnsi="宋体" w:cs="宋体"/>
                <w:color w:val="000000"/>
                <w:sz w:val="20"/>
                <w:szCs w:val="20"/>
              </w:rPr>
            </w:pPr>
          </w:p>
        </w:tc>
        <w:tc>
          <w:tcPr>
            <w:tcW w:w="1225" w:type="dxa"/>
            <w:tcBorders>
              <w:top w:val="nil"/>
              <w:left w:val="nil"/>
              <w:bottom w:val="single" w:color="000000" w:sz="8" w:space="0"/>
              <w:right w:val="single" w:color="000000" w:sz="8" w:space="0"/>
            </w:tcBorders>
            <w:shd w:val="clear" w:color="auto" w:fill="auto"/>
            <w:noWrap/>
            <w:vAlign w:val="center"/>
          </w:tcPr>
          <w:p>
            <w:pPr>
              <w:jc w:val="center"/>
              <w:rPr>
                <w:rFonts w:ascii="宋体" w:hAnsi="宋体" w:cs="宋体"/>
                <w:color w:val="000000"/>
                <w:sz w:val="20"/>
                <w:szCs w:val="20"/>
              </w:rPr>
            </w:pPr>
          </w:p>
        </w:tc>
        <w:tc>
          <w:tcPr>
            <w:tcW w:w="1626" w:type="dxa"/>
            <w:tcBorders>
              <w:top w:val="nil"/>
              <w:left w:val="nil"/>
              <w:bottom w:val="single" w:color="000000" w:sz="8" w:space="0"/>
              <w:right w:val="single" w:color="000000" w:sz="8" w:space="0"/>
            </w:tcBorders>
            <w:shd w:val="clear" w:color="auto" w:fill="auto"/>
            <w:vAlign w:val="center"/>
          </w:tcPr>
          <w:p>
            <w:pPr>
              <w:widowControl/>
              <w:jc w:val="left"/>
              <w:textAlignment w:val="center"/>
              <w:rPr>
                <w:rFonts w:ascii="宋体" w:hAnsi="宋体" w:cs="宋体"/>
                <w:color w:val="000000"/>
                <w:sz w:val="18"/>
                <w:szCs w:val="18"/>
              </w:rPr>
            </w:pPr>
            <w:r>
              <w:rPr>
                <w:rStyle w:val="32"/>
                <w:rFonts w:hint="default"/>
                <w:sz w:val="18"/>
                <w:szCs w:val="18"/>
                <w:lang w:bidi="ar"/>
              </w:rPr>
              <w:t xml:space="preserve">  </w:t>
            </w:r>
          </w:p>
        </w:tc>
      </w:tr>
      <w:tr>
        <w:tblPrEx>
          <w:tblCellMar>
            <w:top w:w="0" w:type="dxa"/>
            <w:left w:w="108" w:type="dxa"/>
            <w:bottom w:w="0" w:type="dxa"/>
            <w:right w:w="108" w:type="dxa"/>
          </w:tblCellMar>
        </w:tblPrEx>
        <w:trPr>
          <w:trHeight w:val="538" w:hRule="atLeast"/>
        </w:trPr>
        <w:tc>
          <w:tcPr>
            <w:tcW w:w="676"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textAlignment w:val="center"/>
              <w:rPr>
                <w:rFonts w:ascii="宋体" w:hAnsi="宋体" w:cs="宋体"/>
                <w:color w:val="000000"/>
                <w:sz w:val="20"/>
                <w:szCs w:val="20"/>
              </w:rPr>
            </w:pPr>
            <w:r>
              <w:rPr>
                <w:rStyle w:val="32"/>
                <w:rFonts w:hint="default"/>
                <w:lang w:bidi="ar"/>
              </w:rPr>
              <w:t>1、</w:t>
            </w:r>
          </w:p>
        </w:tc>
        <w:tc>
          <w:tcPr>
            <w:tcW w:w="1925" w:type="dxa"/>
            <w:tcBorders>
              <w:top w:val="nil"/>
              <w:left w:val="nil"/>
              <w:bottom w:val="single" w:color="000000" w:sz="8" w:space="0"/>
              <w:right w:val="single" w:color="000000" w:sz="8" w:space="0"/>
            </w:tcBorders>
            <w:shd w:val="clear" w:color="auto" w:fill="auto"/>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场地转运</w:t>
            </w:r>
          </w:p>
        </w:tc>
        <w:tc>
          <w:tcPr>
            <w:tcW w:w="800"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cs="宋体"/>
                <w:color w:val="000000"/>
                <w:sz w:val="20"/>
                <w:szCs w:val="20"/>
              </w:rPr>
            </w:pPr>
            <w:r>
              <w:rPr>
                <w:rStyle w:val="32"/>
                <w:rFonts w:hint="default"/>
                <w:lang w:bidi="ar"/>
              </w:rPr>
              <w:t>只</w:t>
            </w:r>
          </w:p>
        </w:tc>
        <w:tc>
          <w:tcPr>
            <w:tcW w:w="913"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1.0 </w:t>
            </w:r>
          </w:p>
        </w:tc>
        <w:tc>
          <w:tcPr>
            <w:tcW w:w="1387" w:type="dxa"/>
            <w:tcBorders>
              <w:top w:val="nil"/>
              <w:left w:val="nil"/>
              <w:bottom w:val="single" w:color="000000" w:sz="8" w:space="0"/>
              <w:right w:val="single" w:color="000000" w:sz="8" w:space="0"/>
            </w:tcBorders>
            <w:shd w:val="clear" w:color="auto" w:fill="auto"/>
            <w:noWrap/>
            <w:vAlign w:val="center"/>
          </w:tcPr>
          <w:p>
            <w:pPr>
              <w:jc w:val="center"/>
              <w:rPr>
                <w:rFonts w:ascii="宋体" w:hAnsi="宋体" w:cs="宋体"/>
                <w:color w:val="000000"/>
                <w:sz w:val="20"/>
                <w:szCs w:val="20"/>
              </w:rPr>
            </w:pPr>
          </w:p>
        </w:tc>
        <w:tc>
          <w:tcPr>
            <w:tcW w:w="122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0.0 </w:t>
            </w:r>
          </w:p>
        </w:tc>
        <w:tc>
          <w:tcPr>
            <w:tcW w:w="1626" w:type="dxa"/>
            <w:tcBorders>
              <w:top w:val="nil"/>
              <w:left w:val="nil"/>
              <w:bottom w:val="single" w:color="000000" w:sz="8" w:space="0"/>
              <w:right w:val="single" w:color="000000" w:sz="8" w:space="0"/>
            </w:tcBorders>
            <w:shd w:val="clear" w:color="auto" w:fill="auto"/>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翻转方案据实际情况而定</w:t>
            </w:r>
          </w:p>
        </w:tc>
      </w:tr>
      <w:tr>
        <w:tblPrEx>
          <w:tblCellMar>
            <w:top w:w="0" w:type="dxa"/>
            <w:left w:w="108" w:type="dxa"/>
            <w:bottom w:w="0" w:type="dxa"/>
            <w:right w:w="108" w:type="dxa"/>
          </w:tblCellMar>
        </w:tblPrEx>
        <w:trPr>
          <w:trHeight w:val="287" w:hRule="atLeast"/>
        </w:trPr>
        <w:tc>
          <w:tcPr>
            <w:tcW w:w="676"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textAlignment w:val="center"/>
              <w:rPr>
                <w:rFonts w:ascii="宋体" w:hAnsi="宋体" w:cs="宋体"/>
                <w:color w:val="000000"/>
                <w:sz w:val="20"/>
                <w:szCs w:val="20"/>
              </w:rPr>
            </w:pPr>
            <w:r>
              <w:rPr>
                <w:rStyle w:val="32"/>
                <w:rFonts w:hint="default"/>
                <w:lang w:bidi="ar"/>
              </w:rPr>
              <w:t>2、</w:t>
            </w:r>
          </w:p>
        </w:tc>
        <w:tc>
          <w:tcPr>
            <w:tcW w:w="1925" w:type="dxa"/>
            <w:tcBorders>
              <w:top w:val="nil"/>
              <w:left w:val="nil"/>
              <w:bottom w:val="single" w:color="000000" w:sz="8" w:space="0"/>
              <w:right w:val="single" w:color="000000" w:sz="8" w:space="0"/>
            </w:tcBorders>
            <w:shd w:val="clear" w:color="auto" w:fill="auto"/>
            <w:vAlign w:val="center"/>
          </w:tcPr>
          <w:p>
            <w:pPr>
              <w:widowControl/>
              <w:jc w:val="left"/>
              <w:textAlignment w:val="center"/>
              <w:rPr>
                <w:rFonts w:ascii="宋体" w:hAnsi="宋体" w:cs="宋体"/>
                <w:color w:val="000000"/>
                <w:sz w:val="20"/>
                <w:szCs w:val="20"/>
              </w:rPr>
            </w:pPr>
            <w:r>
              <w:rPr>
                <w:rStyle w:val="32"/>
                <w:rFonts w:hint="default"/>
                <w:lang w:bidi="ar"/>
              </w:rPr>
              <w:t>装车费</w:t>
            </w:r>
          </w:p>
        </w:tc>
        <w:tc>
          <w:tcPr>
            <w:tcW w:w="800"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cs="宋体"/>
                <w:color w:val="000000"/>
                <w:sz w:val="20"/>
                <w:szCs w:val="20"/>
              </w:rPr>
            </w:pPr>
            <w:r>
              <w:rPr>
                <w:rStyle w:val="32"/>
                <w:rFonts w:hint="default"/>
                <w:lang w:bidi="ar"/>
              </w:rPr>
              <w:t>只</w:t>
            </w:r>
          </w:p>
        </w:tc>
        <w:tc>
          <w:tcPr>
            <w:tcW w:w="913"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1.0 </w:t>
            </w:r>
          </w:p>
        </w:tc>
        <w:tc>
          <w:tcPr>
            <w:tcW w:w="1387" w:type="dxa"/>
            <w:tcBorders>
              <w:top w:val="nil"/>
              <w:left w:val="nil"/>
              <w:bottom w:val="single" w:color="000000" w:sz="8" w:space="0"/>
              <w:right w:val="single" w:color="000000" w:sz="8" w:space="0"/>
            </w:tcBorders>
            <w:shd w:val="clear" w:color="auto" w:fill="auto"/>
            <w:noWrap/>
            <w:vAlign w:val="center"/>
          </w:tcPr>
          <w:p>
            <w:pPr>
              <w:jc w:val="center"/>
              <w:rPr>
                <w:rFonts w:ascii="宋体" w:hAnsi="宋体" w:cs="宋体"/>
                <w:color w:val="000000"/>
                <w:sz w:val="20"/>
                <w:szCs w:val="20"/>
              </w:rPr>
            </w:pPr>
          </w:p>
        </w:tc>
        <w:tc>
          <w:tcPr>
            <w:tcW w:w="122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0.0 </w:t>
            </w:r>
          </w:p>
        </w:tc>
        <w:tc>
          <w:tcPr>
            <w:tcW w:w="1626" w:type="dxa"/>
            <w:tcBorders>
              <w:top w:val="nil"/>
              <w:left w:val="nil"/>
              <w:bottom w:val="single" w:color="000000" w:sz="8" w:space="0"/>
              <w:right w:val="single" w:color="000000" w:sz="8" w:space="0"/>
            </w:tcBorders>
            <w:shd w:val="clear" w:color="auto" w:fill="auto"/>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 xml:space="preserve">  </w:t>
            </w:r>
          </w:p>
        </w:tc>
      </w:tr>
      <w:tr>
        <w:tblPrEx>
          <w:tblCellMar>
            <w:top w:w="0" w:type="dxa"/>
            <w:left w:w="108" w:type="dxa"/>
            <w:bottom w:w="0" w:type="dxa"/>
            <w:right w:w="108" w:type="dxa"/>
          </w:tblCellMar>
        </w:tblPrEx>
        <w:trPr>
          <w:trHeight w:val="798" w:hRule="atLeast"/>
        </w:trPr>
        <w:tc>
          <w:tcPr>
            <w:tcW w:w="676"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textAlignment w:val="center"/>
              <w:rPr>
                <w:rFonts w:ascii="宋体" w:hAnsi="宋体" w:cs="宋体"/>
                <w:color w:val="000000"/>
                <w:sz w:val="20"/>
                <w:szCs w:val="20"/>
              </w:rPr>
            </w:pPr>
            <w:r>
              <w:rPr>
                <w:rStyle w:val="32"/>
                <w:rFonts w:hint="default"/>
                <w:lang w:bidi="ar"/>
              </w:rPr>
              <w:t>3、</w:t>
            </w:r>
          </w:p>
        </w:tc>
        <w:tc>
          <w:tcPr>
            <w:tcW w:w="1925" w:type="dxa"/>
            <w:tcBorders>
              <w:top w:val="nil"/>
              <w:left w:val="nil"/>
              <w:bottom w:val="single" w:color="000000" w:sz="8" w:space="0"/>
              <w:right w:val="single" w:color="000000" w:sz="8" w:space="0"/>
            </w:tcBorders>
            <w:shd w:val="clear" w:color="auto" w:fill="auto"/>
            <w:vAlign w:val="center"/>
          </w:tcPr>
          <w:p>
            <w:pPr>
              <w:widowControl/>
              <w:jc w:val="left"/>
              <w:textAlignment w:val="center"/>
              <w:rPr>
                <w:rFonts w:ascii="宋体" w:hAnsi="宋体" w:cs="宋体"/>
                <w:color w:val="000000"/>
                <w:sz w:val="20"/>
                <w:szCs w:val="20"/>
              </w:rPr>
            </w:pPr>
            <w:r>
              <w:rPr>
                <w:rStyle w:val="32"/>
                <w:rFonts w:hint="default"/>
                <w:lang w:bidi="ar"/>
              </w:rPr>
              <w:t>现场安装费</w:t>
            </w:r>
          </w:p>
        </w:tc>
        <w:tc>
          <w:tcPr>
            <w:tcW w:w="800"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cs="宋体"/>
                <w:color w:val="000000"/>
                <w:sz w:val="20"/>
                <w:szCs w:val="20"/>
              </w:rPr>
            </w:pPr>
            <w:r>
              <w:rPr>
                <w:rStyle w:val="32"/>
                <w:rFonts w:hint="default"/>
                <w:lang w:bidi="ar"/>
              </w:rPr>
              <w:t>只</w:t>
            </w:r>
          </w:p>
        </w:tc>
        <w:tc>
          <w:tcPr>
            <w:tcW w:w="913"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1.0 </w:t>
            </w:r>
          </w:p>
        </w:tc>
        <w:tc>
          <w:tcPr>
            <w:tcW w:w="1387" w:type="dxa"/>
            <w:tcBorders>
              <w:top w:val="nil"/>
              <w:left w:val="nil"/>
              <w:bottom w:val="single" w:color="000000" w:sz="8" w:space="0"/>
              <w:right w:val="single" w:color="000000" w:sz="8" w:space="0"/>
            </w:tcBorders>
            <w:shd w:val="clear" w:color="auto" w:fill="auto"/>
            <w:noWrap/>
            <w:vAlign w:val="center"/>
          </w:tcPr>
          <w:p>
            <w:pPr>
              <w:jc w:val="center"/>
              <w:rPr>
                <w:rFonts w:ascii="宋体" w:hAnsi="宋体" w:cs="宋体"/>
                <w:color w:val="000000"/>
                <w:sz w:val="20"/>
                <w:szCs w:val="20"/>
              </w:rPr>
            </w:pPr>
          </w:p>
        </w:tc>
        <w:tc>
          <w:tcPr>
            <w:tcW w:w="122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0.0 </w:t>
            </w:r>
          </w:p>
        </w:tc>
        <w:tc>
          <w:tcPr>
            <w:tcW w:w="1626" w:type="dxa"/>
            <w:tcBorders>
              <w:top w:val="nil"/>
              <w:left w:val="nil"/>
              <w:bottom w:val="single" w:color="000000" w:sz="8" w:space="0"/>
              <w:right w:val="single" w:color="000000" w:sz="8" w:space="0"/>
            </w:tcBorders>
            <w:shd w:val="clear" w:color="auto" w:fill="auto"/>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含吊装指挥工人、辅助校正、橡胶垫圈安装人工费</w:t>
            </w:r>
          </w:p>
        </w:tc>
      </w:tr>
      <w:tr>
        <w:tblPrEx>
          <w:tblCellMar>
            <w:top w:w="0" w:type="dxa"/>
            <w:left w:w="108" w:type="dxa"/>
            <w:bottom w:w="0" w:type="dxa"/>
            <w:right w:w="108" w:type="dxa"/>
          </w:tblCellMar>
        </w:tblPrEx>
        <w:trPr>
          <w:trHeight w:val="538" w:hRule="atLeast"/>
        </w:trPr>
        <w:tc>
          <w:tcPr>
            <w:tcW w:w="676"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textAlignment w:val="center"/>
              <w:rPr>
                <w:rFonts w:ascii="宋体" w:hAnsi="宋体" w:cs="宋体"/>
                <w:color w:val="000000"/>
                <w:sz w:val="20"/>
                <w:szCs w:val="20"/>
              </w:rPr>
            </w:pPr>
            <w:r>
              <w:rPr>
                <w:rStyle w:val="32"/>
                <w:rFonts w:hint="default"/>
                <w:lang w:bidi="ar"/>
              </w:rPr>
              <w:t>4、</w:t>
            </w:r>
          </w:p>
        </w:tc>
        <w:tc>
          <w:tcPr>
            <w:tcW w:w="1925" w:type="dxa"/>
            <w:tcBorders>
              <w:top w:val="nil"/>
              <w:left w:val="nil"/>
              <w:bottom w:val="single" w:color="000000" w:sz="8" w:space="0"/>
              <w:right w:val="single" w:color="000000" w:sz="8" w:space="0"/>
            </w:tcBorders>
            <w:shd w:val="clear" w:color="auto" w:fill="auto"/>
            <w:vAlign w:val="center"/>
          </w:tcPr>
          <w:p>
            <w:pPr>
              <w:widowControl/>
              <w:jc w:val="left"/>
              <w:textAlignment w:val="center"/>
              <w:rPr>
                <w:rFonts w:ascii="宋体" w:hAnsi="宋体" w:cs="宋体"/>
                <w:color w:val="000000"/>
                <w:sz w:val="20"/>
                <w:szCs w:val="20"/>
              </w:rPr>
            </w:pPr>
            <w:r>
              <w:rPr>
                <w:rStyle w:val="32"/>
                <w:rFonts w:hint="default"/>
                <w:lang w:bidi="ar"/>
              </w:rPr>
              <w:t>接口封堵</w:t>
            </w:r>
          </w:p>
        </w:tc>
        <w:tc>
          <w:tcPr>
            <w:tcW w:w="800"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cs="宋体"/>
                <w:color w:val="000000"/>
                <w:sz w:val="20"/>
                <w:szCs w:val="20"/>
              </w:rPr>
            </w:pPr>
            <w:r>
              <w:rPr>
                <w:rStyle w:val="32"/>
                <w:rFonts w:hint="default"/>
                <w:lang w:bidi="ar"/>
              </w:rPr>
              <w:t>只</w:t>
            </w:r>
          </w:p>
        </w:tc>
        <w:tc>
          <w:tcPr>
            <w:tcW w:w="913"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1.0 </w:t>
            </w:r>
          </w:p>
        </w:tc>
        <w:tc>
          <w:tcPr>
            <w:tcW w:w="1387" w:type="dxa"/>
            <w:tcBorders>
              <w:top w:val="nil"/>
              <w:left w:val="nil"/>
              <w:bottom w:val="single" w:color="000000" w:sz="8" w:space="0"/>
              <w:right w:val="single" w:color="000000" w:sz="8" w:space="0"/>
            </w:tcBorders>
            <w:shd w:val="clear" w:color="auto" w:fill="auto"/>
            <w:noWrap/>
            <w:vAlign w:val="center"/>
          </w:tcPr>
          <w:p>
            <w:pPr>
              <w:jc w:val="center"/>
              <w:rPr>
                <w:rFonts w:ascii="宋体" w:hAnsi="宋体" w:cs="宋体"/>
                <w:color w:val="000000"/>
                <w:sz w:val="20"/>
                <w:szCs w:val="20"/>
              </w:rPr>
            </w:pPr>
          </w:p>
        </w:tc>
        <w:tc>
          <w:tcPr>
            <w:tcW w:w="122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0.0 </w:t>
            </w:r>
          </w:p>
        </w:tc>
        <w:tc>
          <w:tcPr>
            <w:tcW w:w="1626" w:type="dxa"/>
            <w:tcBorders>
              <w:top w:val="nil"/>
              <w:left w:val="nil"/>
              <w:bottom w:val="single" w:color="000000" w:sz="8" w:space="0"/>
              <w:right w:val="single" w:color="000000" w:sz="8" w:space="0"/>
            </w:tcBorders>
            <w:shd w:val="clear" w:color="auto" w:fill="auto"/>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胶条、丁基胶、砂浆封堵人工费</w:t>
            </w:r>
          </w:p>
        </w:tc>
      </w:tr>
      <w:tr>
        <w:tblPrEx>
          <w:tblCellMar>
            <w:top w:w="0" w:type="dxa"/>
            <w:left w:w="108" w:type="dxa"/>
            <w:bottom w:w="0" w:type="dxa"/>
            <w:right w:w="108" w:type="dxa"/>
          </w:tblCellMar>
        </w:tblPrEx>
        <w:trPr>
          <w:trHeight w:val="287" w:hRule="atLeast"/>
        </w:trPr>
        <w:tc>
          <w:tcPr>
            <w:tcW w:w="676"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textAlignment w:val="center"/>
              <w:rPr>
                <w:rFonts w:ascii="宋体" w:hAnsi="宋体" w:cs="宋体"/>
                <w:color w:val="000000"/>
                <w:sz w:val="20"/>
                <w:szCs w:val="20"/>
              </w:rPr>
            </w:pPr>
            <w:r>
              <w:rPr>
                <w:rStyle w:val="32"/>
                <w:rFonts w:hint="default"/>
                <w:lang w:bidi="ar"/>
              </w:rPr>
              <w:t>三</w:t>
            </w:r>
          </w:p>
        </w:tc>
        <w:tc>
          <w:tcPr>
            <w:tcW w:w="1925" w:type="dxa"/>
            <w:tcBorders>
              <w:top w:val="nil"/>
              <w:left w:val="nil"/>
              <w:bottom w:val="single" w:color="000000" w:sz="8" w:space="0"/>
              <w:right w:val="single" w:color="000000" w:sz="8" w:space="0"/>
            </w:tcBorders>
            <w:shd w:val="clear" w:color="auto" w:fill="auto"/>
            <w:vAlign w:val="center"/>
          </w:tcPr>
          <w:p>
            <w:pPr>
              <w:widowControl/>
              <w:jc w:val="left"/>
              <w:textAlignment w:val="center"/>
              <w:rPr>
                <w:rFonts w:ascii="宋体" w:hAnsi="宋体" w:cs="宋体"/>
                <w:b/>
                <w:bCs/>
                <w:color w:val="000000"/>
                <w:sz w:val="20"/>
                <w:szCs w:val="20"/>
              </w:rPr>
            </w:pPr>
            <w:r>
              <w:rPr>
                <w:rStyle w:val="30"/>
                <w:rFonts w:hint="default"/>
                <w:lang w:bidi="ar"/>
              </w:rPr>
              <w:t>其它</w:t>
            </w:r>
          </w:p>
        </w:tc>
        <w:tc>
          <w:tcPr>
            <w:tcW w:w="800" w:type="dxa"/>
            <w:tcBorders>
              <w:top w:val="nil"/>
              <w:left w:val="nil"/>
              <w:bottom w:val="single" w:color="000000" w:sz="8" w:space="0"/>
              <w:right w:val="single" w:color="000000" w:sz="8" w:space="0"/>
            </w:tcBorders>
            <w:shd w:val="clear" w:color="auto" w:fill="auto"/>
            <w:noWrap/>
            <w:vAlign w:val="center"/>
          </w:tcPr>
          <w:p>
            <w:pPr>
              <w:jc w:val="center"/>
              <w:rPr>
                <w:rFonts w:ascii="Times New Roman" w:hAnsi="Times New Roman"/>
                <w:color w:val="000000"/>
                <w:sz w:val="20"/>
                <w:szCs w:val="20"/>
              </w:rPr>
            </w:pPr>
          </w:p>
        </w:tc>
        <w:tc>
          <w:tcPr>
            <w:tcW w:w="913" w:type="dxa"/>
            <w:tcBorders>
              <w:top w:val="nil"/>
              <w:left w:val="nil"/>
              <w:bottom w:val="single" w:color="000000" w:sz="8" w:space="0"/>
              <w:right w:val="single" w:color="000000" w:sz="8" w:space="0"/>
            </w:tcBorders>
            <w:shd w:val="clear" w:color="auto" w:fill="auto"/>
            <w:noWrap/>
            <w:vAlign w:val="center"/>
          </w:tcPr>
          <w:p>
            <w:pPr>
              <w:jc w:val="center"/>
              <w:rPr>
                <w:rFonts w:ascii="宋体" w:hAnsi="宋体" w:cs="宋体"/>
                <w:color w:val="000000"/>
                <w:sz w:val="20"/>
                <w:szCs w:val="20"/>
              </w:rPr>
            </w:pPr>
          </w:p>
        </w:tc>
        <w:tc>
          <w:tcPr>
            <w:tcW w:w="1387" w:type="dxa"/>
            <w:tcBorders>
              <w:top w:val="nil"/>
              <w:left w:val="nil"/>
              <w:bottom w:val="single" w:color="000000" w:sz="8" w:space="0"/>
              <w:right w:val="single" w:color="000000" w:sz="8" w:space="0"/>
            </w:tcBorders>
            <w:shd w:val="clear" w:color="auto" w:fill="auto"/>
            <w:noWrap/>
            <w:vAlign w:val="center"/>
          </w:tcPr>
          <w:p>
            <w:pPr>
              <w:jc w:val="center"/>
              <w:rPr>
                <w:rFonts w:ascii="宋体" w:hAnsi="宋体" w:cs="宋体"/>
                <w:color w:val="000000"/>
                <w:sz w:val="20"/>
                <w:szCs w:val="20"/>
              </w:rPr>
            </w:pPr>
          </w:p>
        </w:tc>
        <w:tc>
          <w:tcPr>
            <w:tcW w:w="1225" w:type="dxa"/>
            <w:tcBorders>
              <w:top w:val="nil"/>
              <w:left w:val="nil"/>
              <w:bottom w:val="single" w:color="000000" w:sz="8" w:space="0"/>
              <w:right w:val="single" w:color="000000" w:sz="8" w:space="0"/>
            </w:tcBorders>
            <w:shd w:val="clear" w:color="auto" w:fill="auto"/>
            <w:noWrap/>
            <w:vAlign w:val="center"/>
          </w:tcPr>
          <w:p>
            <w:pPr>
              <w:jc w:val="center"/>
              <w:rPr>
                <w:rFonts w:ascii="宋体" w:hAnsi="宋体" w:cs="宋体"/>
                <w:color w:val="000000"/>
                <w:sz w:val="20"/>
                <w:szCs w:val="20"/>
              </w:rPr>
            </w:pPr>
          </w:p>
        </w:tc>
        <w:tc>
          <w:tcPr>
            <w:tcW w:w="1626" w:type="dxa"/>
            <w:tcBorders>
              <w:top w:val="nil"/>
              <w:left w:val="nil"/>
              <w:bottom w:val="single" w:color="000000" w:sz="8" w:space="0"/>
              <w:right w:val="single" w:color="000000" w:sz="8" w:space="0"/>
            </w:tcBorders>
            <w:shd w:val="clear" w:color="auto" w:fill="auto"/>
            <w:vAlign w:val="center"/>
          </w:tcPr>
          <w:p>
            <w:pPr>
              <w:widowControl/>
              <w:jc w:val="left"/>
              <w:textAlignment w:val="center"/>
              <w:rPr>
                <w:rFonts w:ascii="宋体" w:hAnsi="宋体" w:cs="宋体"/>
                <w:color w:val="000000"/>
                <w:sz w:val="18"/>
                <w:szCs w:val="18"/>
              </w:rPr>
            </w:pPr>
            <w:r>
              <w:rPr>
                <w:rStyle w:val="32"/>
                <w:rFonts w:hint="default"/>
                <w:sz w:val="18"/>
                <w:szCs w:val="18"/>
                <w:lang w:bidi="ar"/>
              </w:rPr>
              <w:t xml:space="preserve">  </w:t>
            </w:r>
          </w:p>
        </w:tc>
      </w:tr>
      <w:tr>
        <w:tblPrEx>
          <w:tblCellMar>
            <w:top w:w="0" w:type="dxa"/>
            <w:left w:w="108" w:type="dxa"/>
            <w:bottom w:w="0" w:type="dxa"/>
            <w:right w:w="108" w:type="dxa"/>
          </w:tblCellMar>
        </w:tblPrEx>
        <w:trPr>
          <w:trHeight w:val="287" w:hRule="atLeast"/>
        </w:trPr>
        <w:tc>
          <w:tcPr>
            <w:tcW w:w="676"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textAlignment w:val="center"/>
              <w:rPr>
                <w:rFonts w:ascii="宋体" w:hAnsi="宋体" w:cs="宋体"/>
                <w:color w:val="000000"/>
                <w:sz w:val="20"/>
                <w:szCs w:val="20"/>
              </w:rPr>
            </w:pPr>
            <w:r>
              <w:rPr>
                <w:rStyle w:val="32"/>
                <w:rFonts w:hint="default"/>
                <w:lang w:bidi="ar"/>
              </w:rPr>
              <w:t>1、</w:t>
            </w:r>
          </w:p>
        </w:tc>
        <w:tc>
          <w:tcPr>
            <w:tcW w:w="1925" w:type="dxa"/>
            <w:tcBorders>
              <w:top w:val="nil"/>
              <w:left w:val="nil"/>
              <w:bottom w:val="single" w:color="000000" w:sz="8" w:space="0"/>
              <w:right w:val="single" w:color="000000" w:sz="8" w:space="0"/>
            </w:tcBorders>
            <w:shd w:val="clear" w:color="auto" w:fill="auto"/>
            <w:vAlign w:val="center"/>
          </w:tcPr>
          <w:p>
            <w:pPr>
              <w:widowControl/>
              <w:jc w:val="left"/>
              <w:textAlignment w:val="center"/>
              <w:rPr>
                <w:rFonts w:ascii="宋体" w:hAnsi="宋体" w:cs="宋体"/>
                <w:color w:val="000000"/>
                <w:sz w:val="20"/>
                <w:szCs w:val="20"/>
              </w:rPr>
            </w:pPr>
            <w:r>
              <w:rPr>
                <w:rStyle w:val="32"/>
                <w:rFonts w:hint="default"/>
                <w:lang w:bidi="ar"/>
              </w:rPr>
              <w:t>杂支费用</w:t>
            </w:r>
          </w:p>
        </w:tc>
        <w:tc>
          <w:tcPr>
            <w:tcW w:w="800"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cs="宋体"/>
                <w:color w:val="000000"/>
                <w:sz w:val="20"/>
                <w:szCs w:val="20"/>
              </w:rPr>
            </w:pPr>
            <w:r>
              <w:rPr>
                <w:rStyle w:val="32"/>
                <w:rFonts w:hint="default"/>
                <w:lang w:bidi="ar"/>
              </w:rPr>
              <w:t>米</w:t>
            </w:r>
          </w:p>
        </w:tc>
        <w:tc>
          <w:tcPr>
            <w:tcW w:w="913"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2.0 </w:t>
            </w:r>
          </w:p>
        </w:tc>
        <w:tc>
          <w:tcPr>
            <w:tcW w:w="1387" w:type="dxa"/>
            <w:tcBorders>
              <w:top w:val="nil"/>
              <w:left w:val="nil"/>
              <w:bottom w:val="single" w:color="000000" w:sz="8" w:space="0"/>
              <w:right w:val="single" w:color="000000" w:sz="8" w:space="0"/>
            </w:tcBorders>
            <w:shd w:val="clear" w:color="auto" w:fill="auto"/>
            <w:noWrap/>
            <w:vAlign w:val="center"/>
          </w:tcPr>
          <w:p>
            <w:pPr>
              <w:jc w:val="center"/>
              <w:rPr>
                <w:rFonts w:ascii="宋体" w:hAnsi="宋体" w:cs="宋体"/>
                <w:color w:val="000000"/>
                <w:sz w:val="20"/>
                <w:szCs w:val="20"/>
              </w:rPr>
            </w:pPr>
          </w:p>
        </w:tc>
        <w:tc>
          <w:tcPr>
            <w:tcW w:w="122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0.0 </w:t>
            </w:r>
          </w:p>
        </w:tc>
        <w:tc>
          <w:tcPr>
            <w:tcW w:w="1626" w:type="dxa"/>
            <w:tcBorders>
              <w:top w:val="nil"/>
              <w:left w:val="nil"/>
              <w:bottom w:val="single" w:color="000000" w:sz="8" w:space="0"/>
              <w:right w:val="single" w:color="000000" w:sz="8" w:space="0"/>
            </w:tcBorders>
            <w:shd w:val="clear" w:color="auto" w:fill="auto"/>
            <w:vAlign w:val="center"/>
          </w:tcPr>
          <w:p>
            <w:pPr>
              <w:jc w:val="left"/>
              <w:rPr>
                <w:rFonts w:ascii="宋体" w:hAnsi="宋体" w:cs="宋体"/>
                <w:color w:val="000000"/>
                <w:sz w:val="18"/>
                <w:szCs w:val="18"/>
              </w:rPr>
            </w:pPr>
          </w:p>
        </w:tc>
      </w:tr>
      <w:tr>
        <w:tblPrEx>
          <w:tblCellMar>
            <w:top w:w="0" w:type="dxa"/>
            <w:left w:w="108" w:type="dxa"/>
            <w:bottom w:w="0" w:type="dxa"/>
            <w:right w:w="108" w:type="dxa"/>
          </w:tblCellMar>
        </w:tblPrEx>
        <w:trPr>
          <w:trHeight w:val="322" w:hRule="atLeast"/>
        </w:trPr>
        <w:tc>
          <w:tcPr>
            <w:tcW w:w="676"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textAlignment w:val="center"/>
              <w:rPr>
                <w:rFonts w:ascii="宋体" w:hAnsi="宋体" w:cs="宋体"/>
                <w:color w:val="000000"/>
                <w:sz w:val="20"/>
                <w:szCs w:val="20"/>
              </w:rPr>
            </w:pPr>
            <w:r>
              <w:rPr>
                <w:rStyle w:val="32"/>
                <w:rFonts w:hint="default"/>
                <w:lang w:bidi="ar"/>
              </w:rPr>
              <w:t>2、</w:t>
            </w:r>
          </w:p>
        </w:tc>
        <w:tc>
          <w:tcPr>
            <w:tcW w:w="1925" w:type="dxa"/>
            <w:tcBorders>
              <w:top w:val="nil"/>
              <w:left w:val="nil"/>
              <w:bottom w:val="single" w:color="000000" w:sz="8" w:space="0"/>
              <w:right w:val="single" w:color="000000" w:sz="8" w:space="0"/>
            </w:tcBorders>
            <w:shd w:val="clear" w:color="auto" w:fill="auto"/>
            <w:vAlign w:val="center"/>
          </w:tcPr>
          <w:p>
            <w:pPr>
              <w:widowControl/>
              <w:jc w:val="left"/>
              <w:textAlignment w:val="center"/>
              <w:rPr>
                <w:rFonts w:ascii="宋体" w:hAnsi="宋体" w:cs="宋体"/>
                <w:color w:val="000000"/>
                <w:sz w:val="20"/>
                <w:szCs w:val="20"/>
              </w:rPr>
            </w:pPr>
            <w:r>
              <w:rPr>
                <w:rStyle w:val="32"/>
                <w:rFonts w:hint="default"/>
                <w:lang w:bidi="ar"/>
              </w:rPr>
              <w:t>员工保险</w:t>
            </w:r>
          </w:p>
        </w:tc>
        <w:tc>
          <w:tcPr>
            <w:tcW w:w="800"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cs="宋体"/>
                <w:color w:val="000000"/>
                <w:sz w:val="20"/>
                <w:szCs w:val="20"/>
              </w:rPr>
            </w:pPr>
            <w:r>
              <w:rPr>
                <w:rStyle w:val="32"/>
                <w:rFonts w:hint="default"/>
                <w:lang w:bidi="ar"/>
              </w:rPr>
              <w:t>只</w:t>
            </w:r>
          </w:p>
        </w:tc>
        <w:tc>
          <w:tcPr>
            <w:tcW w:w="913"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1.0 </w:t>
            </w:r>
          </w:p>
        </w:tc>
        <w:tc>
          <w:tcPr>
            <w:tcW w:w="1387" w:type="dxa"/>
            <w:tcBorders>
              <w:top w:val="nil"/>
              <w:left w:val="nil"/>
              <w:bottom w:val="single" w:color="000000" w:sz="8" w:space="0"/>
              <w:right w:val="single" w:color="000000" w:sz="8" w:space="0"/>
            </w:tcBorders>
            <w:shd w:val="clear" w:color="auto" w:fill="auto"/>
            <w:noWrap/>
            <w:vAlign w:val="center"/>
          </w:tcPr>
          <w:p>
            <w:pPr>
              <w:jc w:val="center"/>
              <w:rPr>
                <w:rFonts w:ascii="宋体" w:hAnsi="宋体" w:cs="宋体"/>
                <w:color w:val="000000"/>
                <w:sz w:val="20"/>
                <w:szCs w:val="20"/>
              </w:rPr>
            </w:pPr>
          </w:p>
        </w:tc>
        <w:tc>
          <w:tcPr>
            <w:tcW w:w="122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 xml:space="preserve">0.0 </w:t>
            </w:r>
          </w:p>
        </w:tc>
        <w:tc>
          <w:tcPr>
            <w:tcW w:w="1626" w:type="dxa"/>
            <w:tcBorders>
              <w:top w:val="nil"/>
              <w:left w:val="nil"/>
              <w:bottom w:val="single" w:color="000000" w:sz="8" w:space="0"/>
              <w:right w:val="single" w:color="000000" w:sz="8" w:space="0"/>
            </w:tcBorders>
            <w:shd w:val="clear" w:color="auto" w:fill="auto"/>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场内、场外</w:t>
            </w:r>
          </w:p>
        </w:tc>
      </w:tr>
      <w:tr>
        <w:tblPrEx>
          <w:tblCellMar>
            <w:top w:w="0" w:type="dxa"/>
            <w:left w:w="108" w:type="dxa"/>
            <w:bottom w:w="0" w:type="dxa"/>
            <w:right w:w="108" w:type="dxa"/>
          </w:tblCellMar>
        </w:tblPrEx>
        <w:trPr>
          <w:trHeight w:val="287" w:hRule="atLeast"/>
        </w:trPr>
        <w:tc>
          <w:tcPr>
            <w:tcW w:w="676"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textAlignment w:val="center"/>
              <w:rPr>
                <w:rFonts w:ascii="宋体" w:hAnsi="宋体" w:cs="宋体"/>
                <w:b/>
                <w:bCs/>
                <w:color w:val="000000"/>
                <w:sz w:val="20"/>
                <w:szCs w:val="20"/>
              </w:rPr>
            </w:pPr>
            <w:r>
              <w:rPr>
                <w:rStyle w:val="33"/>
                <w:rFonts w:hint="default"/>
                <w:lang w:bidi="ar"/>
              </w:rPr>
              <w:t>四</w:t>
            </w:r>
          </w:p>
        </w:tc>
        <w:tc>
          <w:tcPr>
            <w:tcW w:w="1925" w:type="dxa"/>
            <w:tcBorders>
              <w:top w:val="nil"/>
              <w:left w:val="nil"/>
              <w:bottom w:val="single" w:color="000000" w:sz="8" w:space="0"/>
              <w:right w:val="single" w:color="000000" w:sz="8" w:space="0"/>
            </w:tcBorders>
            <w:shd w:val="clear" w:color="auto" w:fill="auto"/>
            <w:vAlign w:val="center"/>
          </w:tcPr>
          <w:p>
            <w:pPr>
              <w:widowControl/>
              <w:jc w:val="lef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直接费合计</w:t>
            </w:r>
          </w:p>
        </w:tc>
        <w:tc>
          <w:tcPr>
            <w:tcW w:w="1713" w:type="dxa"/>
            <w:gridSpan w:val="2"/>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一+二+三</w:t>
            </w:r>
          </w:p>
        </w:tc>
        <w:tc>
          <w:tcPr>
            <w:tcW w:w="1387" w:type="dxa"/>
            <w:tcBorders>
              <w:top w:val="nil"/>
              <w:left w:val="nil"/>
              <w:bottom w:val="single" w:color="000000" w:sz="8" w:space="0"/>
              <w:right w:val="single" w:color="000000" w:sz="8" w:space="0"/>
            </w:tcBorders>
            <w:shd w:val="clear" w:color="auto" w:fill="auto"/>
            <w:noWrap/>
            <w:vAlign w:val="center"/>
          </w:tcPr>
          <w:p>
            <w:pPr>
              <w:jc w:val="center"/>
              <w:rPr>
                <w:rFonts w:ascii="宋体" w:hAnsi="宋体" w:cs="宋体"/>
                <w:color w:val="000000"/>
                <w:sz w:val="20"/>
                <w:szCs w:val="20"/>
              </w:rPr>
            </w:pPr>
          </w:p>
        </w:tc>
        <w:tc>
          <w:tcPr>
            <w:tcW w:w="122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 xml:space="preserve">0.0 </w:t>
            </w:r>
          </w:p>
        </w:tc>
        <w:tc>
          <w:tcPr>
            <w:tcW w:w="1626" w:type="dxa"/>
            <w:tcBorders>
              <w:top w:val="nil"/>
              <w:left w:val="nil"/>
              <w:bottom w:val="single" w:color="000000" w:sz="8" w:space="0"/>
              <w:right w:val="single" w:color="000000" w:sz="8" w:space="0"/>
            </w:tcBorders>
            <w:shd w:val="clear" w:color="auto" w:fill="auto"/>
            <w:vAlign w:val="center"/>
          </w:tcPr>
          <w:p>
            <w:pPr>
              <w:widowControl/>
              <w:jc w:val="left"/>
              <w:textAlignment w:val="center"/>
              <w:rPr>
                <w:rFonts w:ascii="宋体" w:hAnsi="宋体" w:cs="宋体"/>
                <w:color w:val="000000"/>
                <w:sz w:val="18"/>
                <w:szCs w:val="18"/>
              </w:rPr>
            </w:pPr>
            <w:r>
              <w:rPr>
                <w:rStyle w:val="32"/>
                <w:rFonts w:hint="default"/>
                <w:sz w:val="18"/>
                <w:szCs w:val="18"/>
                <w:lang w:bidi="ar"/>
              </w:rPr>
              <w:t xml:space="preserve">  </w:t>
            </w:r>
          </w:p>
        </w:tc>
      </w:tr>
      <w:tr>
        <w:tblPrEx>
          <w:tblCellMar>
            <w:top w:w="0" w:type="dxa"/>
            <w:left w:w="108" w:type="dxa"/>
            <w:bottom w:w="0" w:type="dxa"/>
            <w:right w:w="108" w:type="dxa"/>
          </w:tblCellMar>
        </w:tblPrEx>
        <w:trPr>
          <w:trHeight w:val="287" w:hRule="atLeast"/>
        </w:trPr>
        <w:tc>
          <w:tcPr>
            <w:tcW w:w="676"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textAlignment w:val="center"/>
              <w:rPr>
                <w:rFonts w:ascii="宋体" w:hAnsi="宋体" w:cs="宋体"/>
                <w:b/>
                <w:bCs/>
                <w:color w:val="000000"/>
                <w:sz w:val="20"/>
                <w:szCs w:val="20"/>
              </w:rPr>
            </w:pPr>
            <w:r>
              <w:rPr>
                <w:rStyle w:val="33"/>
                <w:rFonts w:hint="default"/>
                <w:lang w:bidi="ar"/>
              </w:rPr>
              <w:t>五</w:t>
            </w:r>
          </w:p>
        </w:tc>
        <w:tc>
          <w:tcPr>
            <w:tcW w:w="1925" w:type="dxa"/>
            <w:tcBorders>
              <w:top w:val="nil"/>
              <w:left w:val="nil"/>
              <w:bottom w:val="single" w:color="000000" w:sz="8" w:space="0"/>
              <w:right w:val="single" w:color="000000" w:sz="8" w:space="0"/>
            </w:tcBorders>
            <w:shd w:val="clear" w:color="auto" w:fill="auto"/>
            <w:vAlign w:val="center"/>
          </w:tcPr>
          <w:p>
            <w:pPr>
              <w:widowControl/>
              <w:jc w:val="left"/>
              <w:textAlignment w:val="center"/>
              <w:rPr>
                <w:rFonts w:ascii="黑体" w:hAnsi="宋体" w:eastAsia="黑体" w:cs="黑体"/>
                <w:b/>
                <w:bCs/>
                <w:color w:val="000000"/>
                <w:sz w:val="20"/>
                <w:szCs w:val="20"/>
              </w:rPr>
            </w:pPr>
            <w:r>
              <w:rPr>
                <w:rFonts w:hint="eastAsia" w:ascii="黑体" w:hAnsi="宋体" w:eastAsia="黑体" w:cs="黑体"/>
                <w:b/>
                <w:bCs/>
                <w:color w:val="000000"/>
                <w:kern w:val="0"/>
                <w:sz w:val="20"/>
                <w:szCs w:val="20"/>
                <w:lang w:bidi="ar"/>
              </w:rPr>
              <w:t>间接费用</w:t>
            </w:r>
          </w:p>
        </w:tc>
        <w:tc>
          <w:tcPr>
            <w:tcW w:w="1713" w:type="dxa"/>
            <w:gridSpan w:val="2"/>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cs="宋体"/>
                <w:b/>
                <w:bCs/>
                <w:color w:val="000000"/>
                <w:sz w:val="20"/>
                <w:szCs w:val="20"/>
              </w:rPr>
            </w:pPr>
            <w:r>
              <w:rPr>
                <w:rStyle w:val="30"/>
                <w:rFonts w:hint="default"/>
                <w:lang w:bidi="ar"/>
              </w:rPr>
              <w:t>四*x%</w:t>
            </w:r>
          </w:p>
        </w:tc>
        <w:tc>
          <w:tcPr>
            <w:tcW w:w="1387"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0%</w:t>
            </w:r>
          </w:p>
        </w:tc>
        <w:tc>
          <w:tcPr>
            <w:tcW w:w="122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 xml:space="preserve">0.00 </w:t>
            </w:r>
          </w:p>
        </w:tc>
        <w:tc>
          <w:tcPr>
            <w:tcW w:w="1626" w:type="dxa"/>
            <w:tcBorders>
              <w:top w:val="nil"/>
              <w:left w:val="nil"/>
              <w:bottom w:val="single" w:color="000000" w:sz="8" w:space="0"/>
              <w:right w:val="single" w:color="000000" w:sz="8" w:space="0"/>
            </w:tcBorders>
            <w:shd w:val="clear" w:color="auto" w:fill="auto"/>
            <w:vAlign w:val="center"/>
          </w:tcPr>
          <w:p>
            <w:pPr>
              <w:widowControl/>
              <w:textAlignment w:val="center"/>
              <w:rPr>
                <w:rFonts w:ascii="宋体" w:hAnsi="宋体" w:cs="宋体"/>
                <w:color w:val="000000"/>
                <w:sz w:val="18"/>
                <w:szCs w:val="18"/>
              </w:rPr>
            </w:pPr>
            <w:r>
              <w:rPr>
                <w:rFonts w:hint="eastAsia" w:ascii="宋体" w:hAnsi="宋体" w:cs="宋体"/>
                <w:color w:val="000000"/>
                <w:kern w:val="0"/>
                <w:sz w:val="18"/>
                <w:szCs w:val="18"/>
                <w:lang w:bidi="ar"/>
              </w:rPr>
              <w:t>管理费*%</w:t>
            </w:r>
          </w:p>
        </w:tc>
      </w:tr>
      <w:tr>
        <w:tblPrEx>
          <w:tblCellMar>
            <w:top w:w="0" w:type="dxa"/>
            <w:left w:w="108" w:type="dxa"/>
            <w:bottom w:w="0" w:type="dxa"/>
            <w:right w:w="108" w:type="dxa"/>
          </w:tblCellMar>
        </w:tblPrEx>
        <w:trPr>
          <w:trHeight w:val="287" w:hRule="atLeast"/>
        </w:trPr>
        <w:tc>
          <w:tcPr>
            <w:tcW w:w="676"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textAlignment w:val="center"/>
              <w:rPr>
                <w:rFonts w:ascii="宋体" w:hAnsi="宋体" w:cs="宋体"/>
                <w:b/>
                <w:bCs/>
                <w:color w:val="000000"/>
                <w:sz w:val="20"/>
                <w:szCs w:val="20"/>
              </w:rPr>
            </w:pPr>
            <w:r>
              <w:rPr>
                <w:rStyle w:val="33"/>
                <w:rFonts w:hint="default"/>
                <w:lang w:bidi="ar"/>
              </w:rPr>
              <w:t>六</w:t>
            </w:r>
          </w:p>
        </w:tc>
        <w:tc>
          <w:tcPr>
            <w:tcW w:w="1925" w:type="dxa"/>
            <w:tcBorders>
              <w:top w:val="nil"/>
              <w:left w:val="nil"/>
              <w:bottom w:val="single" w:color="000000" w:sz="8" w:space="0"/>
              <w:right w:val="single" w:color="000000" w:sz="8" w:space="0"/>
            </w:tcBorders>
            <w:shd w:val="clear" w:color="auto" w:fill="auto"/>
            <w:vAlign w:val="center"/>
          </w:tcPr>
          <w:p>
            <w:pPr>
              <w:widowControl/>
              <w:jc w:val="left"/>
              <w:textAlignment w:val="center"/>
              <w:rPr>
                <w:rFonts w:ascii="宋体" w:hAnsi="宋体" w:cs="宋体"/>
                <w:b/>
                <w:bCs/>
                <w:color w:val="000000"/>
                <w:sz w:val="20"/>
                <w:szCs w:val="20"/>
              </w:rPr>
            </w:pPr>
            <w:r>
              <w:rPr>
                <w:rStyle w:val="33"/>
                <w:rFonts w:hint="default"/>
                <w:lang w:bidi="ar"/>
              </w:rPr>
              <w:t>税金</w:t>
            </w:r>
          </w:p>
        </w:tc>
        <w:tc>
          <w:tcPr>
            <w:tcW w:w="1713" w:type="dxa"/>
            <w:gridSpan w:val="2"/>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（四+五）*3%</w:t>
            </w:r>
          </w:p>
        </w:tc>
        <w:tc>
          <w:tcPr>
            <w:tcW w:w="1387"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3%</w:t>
            </w:r>
          </w:p>
        </w:tc>
        <w:tc>
          <w:tcPr>
            <w:tcW w:w="122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 xml:space="preserve">0.00 </w:t>
            </w:r>
          </w:p>
        </w:tc>
        <w:tc>
          <w:tcPr>
            <w:tcW w:w="1626" w:type="dxa"/>
            <w:tcBorders>
              <w:top w:val="nil"/>
              <w:left w:val="nil"/>
              <w:bottom w:val="single" w:color="000000" w:sz="8" w:space="0"/>
              <w:right w:val="single" w:color="000000" w:sz="8" w:space="0"/>
            </w:tcBorders>
            <w:shd w:val="clear" w:color="auto" w:fill="auto"/>
            <w:noWrap/>
            <w:vAlign w:val="center"/>
          </w:tcPr>
          <w:p>
            <w:pPr>
              <w:jc w:val="left"/>
              <w:rPr>
                <w:rFonts w:ascii="宋体" w:hAnsi="宋体" w:cs="宋体"/>
                <w:b/>
                <w:bCs/>
                <w:color w:val="000000"/>
                <w:sz w:val="20"/>
                <w:szCs w:val="20"/>
              </w:rPr>
            </w:pPr>
          </w:p>
        </w:tc>
      </w:tr>
      <w:tr>
        <w:tblPrEx>
          <w:tblCellMar>
            <w:top w:w="0" w:type="dxa"/>
            <w:left w:w="108" w:type="dxa"/>
            <w:bottom w:w="0" w:type="dxa"/>
            <w:right w:w="108" w:type="dxa"/>
          </w:tblCellMar>
        </w:tblPrEx>
        <w:trPr>
          <w:trHeight w:val="287" w:hRule="atLeast"/>
        </w:trPr>
        <w:tc>
          <w:tcPr>
            <w:tcW w:w="676"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七</w:t>
            </w:r>
          </w:p>
        </w:tc>
        <w:tc>
          <w:tcPr>
            <w:tcW w:w="1925" w:type="dxa"/>
            <w:tcBorders>
              <w:top w:val="nil"/>
              <w:left w:val="nil"/>
              <w:bottom w:val="single" w:color="000000" w:sz="8" w:space="0"/>
              <w:right w:val="single" w:color="000000" w:sz="8" w:space="0"/>
            </w:tcBorders>
            <w:shd w:val="clear" w:color="auto" w:fill="auto"/>
            <w:vAlign w:val="center"/>
          </w:tcPr>
          <w:p>
            <w:pPr>
              <w:widowControl/>
              <w:jc w:val="left"/>
              <w:textAlignment w:val="center"/>
              <w:rPr>
                <w:rFonts w:ascii="宋体" w:hAnsi="宋体" w:cs="宋体"/>
                <w:b/>
                <w:bCs/>
                <w:color w:val="000000"/>
                <w:sz w:val="20"/>
                <w:szCs w:val="20"/>
              </w:rPr>
            </w:pPr>
            <w:r>
              <w:rPr>
                <w:rStyle w:val="30"/>
                <w:rFonts w:hint="default"/>
                <w:lang w:bidi="ar"/>
              </w:rPr>
              <w:t>总计</w:t>
            </w:r>
          </w:p>
        </w:tc>
        <w:tc>
          <w:tcPr>
            <w:tcW w:w="1713" w:type="dxa"/>
            <w:gridSpan w:val="2"/>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四+五+六</w:t>
            </w:r>
          </w:p>
        </w:tc>
        <w:tc>
          <w:tcPr>
            <w:tcW w:w="1387" w:type="dxa"/>
            <w:tcBorders>
              <w:top w:val="nil"/>
              <w:left w:val="nil"/>
              <w:bottom w:val="single" w:color="000000" w:sz="8" w:space="0"/>
              <w:right w:val="single" w:color="000000" w:sz="8" w:space="0"/>
            </w:tcBorders>
            <w:shd w:val="clear" w:color="auto" w:fill="auto"/>
            <w:noWrap/>
            <w:vAlign w:val="center"/>
          </w:tcPr>
          <w:p>
            <w:pPr>
              <w:jc w:val="center"/>
              <w:rPr>
                <w:rFonts w:ascii="宋体" w:hAnsi="宋体" w:cs="宋体"/>
                <w:b/>
                <w:bCs/>
                <w:color w:val="000000"/>
                <w:sz w:val="20"/>
                <w:szCs w:val="20"/>
              </w:rPr>
            </w:pPr>
          </w:p>
        </w:tc>
        <w:tc>
          <w:tcPr>
            <w:tcW w:w="122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 xml:space="preserve">0.00 </w:t>
            </w:r>
          </w:p>
        </w:tc>
        <w:tc>
          <w:tcPr>
            <w:tcW w:w="1626" w:type="dxa"/>
            <w:tcBorders>
              <w:top w:val="nil"/>
              <w:left w:val="nil"/>
              <w:bottom w:val="single" w:color="000000" w:sz="8" w:space="0"/>
              <w:right w:val="single" w:color="000000" w:sz="8" w:space="0"/>
            </w:tcBorders>
            <w:shd w:val="clear" w:color="auto" w:fill="auto"/>
            <w:noWrap/>
            <w:vAlign w:val="center"/>
          </w:tcPr>
          <w:p>
            <w:pPr>
              <w:jc w:val="left"/>
              <w:rPr>
                <w:rFonts w:ascii="宋体" w:hAnsi="宋体" w:cs="宋体"/>
                <w:b/>
                <w:bCs/>
                <w:color w:val="000000"/>
                <w:sz w:val="20"/>
                <w:szCs w:val="20"/>
              </w:rPr>
            </w:pPr>
          </w:p>
        </w:tc>
      </w:tr>
      <w:tr>
        <w:tblPrEx>
          <w:tblCellMar>
            <w:top w:w="0" w:type="dxa"/>
            <w:left w:w="108" w:type="dxa"/>
            <w:bottom w:w="0" w:type="dxa"/>
            <w:right w:w="108" w:type="dxa"/>
          </w:tblCellMar>
        </w:tblPrEx>
        <w:trPr>
          <w:trHeight w:val="538" w:hRule="atLeast"/>
        </w:trPr>
        <w:tc>
          <w:tcPr>
            <w:tcW w:w="676" w:type="dxa"/>
            <w:tcBorders>
              <w:top w:val="nil"/>
              <w:left w:val="single" w:color="000000" w:sz="8" w:space="0"/>
              <w:bottom w:val="single" w:color="000000" w:sz="8" w:space="0"/>
              <w:right w:val="single" w:color="000000" w:sz="8" w:space="0"/>
            </w:tcBorders>
            <w:shd w:val="clear" w:color="auto" w:fill="auto"/>
            <w:noWrap/>
            <w:vAlign w:val="center"/>
          </w:tcPr>
          <w:p>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八</w:t>
            </w:r>
          </w:p>
        </w:tc>
        <w:tc>
          <w:tcPr>
            <w:tcW w:w="1925" w:type="dxa"/>
            <w:tcBorders>
              <w:top w:val="nil"/>
              <w:left w:val="nil"/>
              <w:bottom w:val="single" w:color="000000" w:sz="8" w:space="0"/>
              <w:right w:val="single" w:color="000000" w:sz="8" w:space="0"/>
            </w:tcBorders>
            <w:shd w:val="clear" w:color="auto" w:fill="auto"/>
            <w:vAlign w:val="center"/>
          </w:tcPr>
          <w:p>
            <w:pPr>
              <w:widowControl/>
              <w:jc w:val="left"/>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每米综合价格（包干）</w:t>
            </w:r>
          </w:p>
        </w:tc>
        <w:tc>
          <w:tcPr>
            <w:tcW w:w="1713" w:type="dxa"/>
            <w:gridSpan w:val="2"/>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cs="宋体"/>
                <w:b/>
                <w:bCs/>
                <w:color w:val="000000"/>
                <w:sz w:val="20"/>
                <w:szCs w:val="20"/>
              </w:rPr>
            </w:pPr>
            <w:r>
              <w:rPr>
                <w:rStyle w:val="30"/>
                <w:rFonts w:hint="default"/>
                <w:lang w:bidi="ar"/>
              </w:rPr>
              <w:t>七</w:t>
            </w:r>
            <w:r>
              <w:rPr>
                <w:rStyle w:val="35"/>
                <w:lang w:bidi="ar"/>
              </w:rPr>
              <w:t>÷</w:t>
            </w:r>
            <w:r>
              <w:rPr>
                <w:rStyle w:val="30"/>
                <w:rFonts w:hint="default"/>
                <w:lang w:bidi="ar"/>
              </w:rPr>
              <w:t>2</w:t>
            </w:r>
          </w:p>
        </w:tc>
        <w:tc>
          <w:tcPr>
            <w:tcW w:w="1387" w:type="dxa"/>
            <w:tcBorders>
              <w:top w:val="nil"/>
              <w:left w:val="nil"/>
              <w:bottom w:val="single" w:color="000000" w:sz="8" w:space="0"/>
              <w:right w:val="single" w:color="000000" w:sz="8" w:space="0"/>
            </w:tcBorders>
            <w:shd w:val="clear" w:color="auto" w:fill="auto"/>
            <w:noWrap/>
            <w:vAlign w:val="center"/>
          </w:tcPr>
          <w:p>
            <w:pPr>
              <w:jc w:val="center"/>
              <w:rPr>
                <w:rFonts w:ascii="宋体" w:hAnsi="宋体" w:cs="宋体"/>
                <w:color w:val="000000"/>
                <w:sz w:val="24"/>
              </w:rPr>
            </w:pPr>
          </w:p>
        </w:tc>
        <w:tc>
          <w:tcPr>
            <w:tcW w:w="1225" w:type="dxa"/>
            <w:tcBorders>
              <w:top w:val="nil"/>
              <w:left w:val="nil"/>
              <w:bottom w:val="single" w:color="000000" w:sz="8" w:space="0"/>
              <w:right w:val="single" w:color="000000" w:sz="8" w:space="0"/>
            </w:tcBorders>
            <w:shd w:val="clear" w:color="auto" w:fill="auto"/>
            <w:noWrap/>
            <w:vAlign w:val="center"/>
          </w:tcPr>
          <w:p>
            <w:pPr>
              <w:widowControl/>
              <w:jc w:val="center"/>
              <w:textAlignment w:val="center"/>
              <w:rPr>
                <w:rFonts w:ascii="宋体" w:hAnsi="宋体" w:cs="宋体"/>
                <w:b/>
                <w:bCs/>
                <w:color w:val="000000"/>
                <w:sz w:val="20"/>
                <w:szCs w:val="20"/>
              </w:rPr>
            </w:pPr>
            <w:r>
              <w:rPr>
                <w:rFonts w:hint="eastAsia" w:ascii="宋体" w:hAnsi="宋体" w:cs="宋体"/>
                <w:b/>
                <w:bCs/>
                <w:color w:val="000000"/>
                <w:kern w:val="0"/>
                <w:sz w:val="20"/>
                <w:szCs w:val="20"/>
                <w:lang w:bidi="ar"/>
              </w:rPr>
              <w:t xml:space="preserve">0.00 </w:t>
            </w:r>
          </w:p>
        </w:tc>
        <w:tc>
          <w:tcPr>
            <w:tcW w:w="1626" w:type="dxa"/>
            <w:tcBorders>
              <w:top w:val="nil"/>
              <w:left w:val="nil"/>
              <w:bottom w:val="single" w:color="000000" w:sz="8" w:space="0"/>
              <w:right w:val="single" w:color="000000" w:sz="8" w:space="0"/>
            </w:tcBorders>
            <w:shd w:val="clear" w:color="auto" w:fill="auto"/>
            <w:noWrap/>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 xml:space="preserve">  </w:t>
            </w:r>
          </w:p>
        </w:tc>
      </w:tr>
      <w:tr>
        <w:tblPrEx>
          <w:tblCellMar>
            <w:top w:w="0" w:type="dxa"/>
            <w:left w:w="108" w:type="dxa"/>
            <w:bottom w:w="0" w:type="dxa"/>
            <w:right w:w="108" w:type="dxa"/>
          </w:tblCellMar>
        </w:tblPrEx>
        <w:trPr>
          <w:trHeight w:val="1335" w:hRule="atLeast"/>
        </w:trPr>
        <w:tc>
          <w:tcPr>
            <w:tcW w:w="8552" w:type="dxa"/>
            <w:gridSpan w:val="7"/>
            <w:tcBorders>
              <w:top w:val="nil"/>
              <w:left w:val="single" w:color="000000" w:sz="8" w:space="0"/>
              <w:bottom w:val="single" w:color="000000" w:sz="8" w:space="0"/>
              <w:right w:val="single" w:color="000000" w:sz="8" w:space="0"/>
            </w:tcBorders>
            <w:shd w:val="clear" w:color="auto" w:fill="auto"/>
            <w:vAlign w:val="center"/>
          </w:tcPr>
          <w:p>
            <w:pPr>
              <w:widowControl/>
              <w:jc w:val="left"/>
              <w:textAlignment w:val="center"/>
              <w:rPr>
                <w:rFonts w:ascii="宋体" w:hAnsi="宋体" w:cs="宋体"/>
                <w:b/>
                <w:bCs/>
                <w:color w:val="FF0000"/>
                <w:sz w:val="24"/>
              </w:rPr>
            </w:pPr>
            <w:r>
              <w:rPr>
                <w:rFonts w:hint="eastAsia" w:ascii="宋体" w:hAnsi="宋体" w:cs="宋体"/>
                <w:b/>
                <w:bCs/>
                <w:color w:val="FF0000"/>
                <w:kern w:val="0"/>
                <w:sz w:val="24"/>
                <w:lang w:bidi="ar"/>
              </w:rPr>
              <w:t xml:space="preserve">  </w:t>
            </w:r>
            <w:r>
              <w:rPr>
                <w:rFonts w:hint="eastAsia" w:ascii="宋体" w:hAnsi="宋体" w:cs="宋体"/>
                <w:b/>
                <w:bCs/>
                <w:color w:val="FF0000"/>
                <w:kern w:val="0"/>
                <w:sz w:val="22"/>
                <w:szCs w:val="22"/>
                <w:lang w:bidi="ar"/>
              </w:rPr>
              <w:t>备注；1、以上报价包含原模具转场、清理、除锈、涂油、维修等一切费用；</w:t>
            </w:r>
            <w:r>
              <w:rPr>
                <w:rFonts w:hint="eastAsia" w:ascii="宋体" w:hAnsi="宋体" w:cs="宋体"/>
                <w:b/>
                <w:bCs/>
                <w:color w:val="FF0000"/>
                <w:kern w:val="0"/>
                <w:sz w:val="22"/>
                <w:szCs w:val="22"/>
                <w:lang w:bidi="ar"/>
              </w:rPr>
              <w:br w:type="textWrapping"/>
            </w:r>
            <w:r>
              <w:rPr>
                <w:rFonts w:hint="eastAsia" w:ascii="宋体" w:hAnsi="宋体" w:cs="宋体"/>
                <w:b/>
                <w:bCs/>
                <w:color w:val="FF0000"/>
                <w:kern w:val="0"/>
                <w:sz w:val="22"/>
                <w:szCs w:val="22"/>
                <w:lang w:bidi="ar"/>
              </w:rPr>
              <w:t xml:space="preserve">        2、配合现场安装（包括加班),配合项目验收通过；</w:t>
            </w:r>
            <w:r>
              <w:rPr>
                <w:rFonts w:hint="eastAsia" w:ascii="宋体" w:hAnsi="宋体" w:cs="宋体"/>
                <w:b/>
                <w:bCs/>
                <w:color w:val="FF0000"/>
                <w:kern w:val="0"/>
                <w:sz w:val="22"/>
                <w:szCs w:val="22"/>
                <w:lang w:bidi="ar"/>
              </w:rPr>
              <w:br w:type="textWrapping"/>
            </w:r>
            <w:r>
              <w:rPr>
                <w:rFonts w:hint="eastAsia" w:ascii="宋体" w:hAnsi="宋体" w:cs="宋体"/>
                <w:b/>
                <w:bCs/>
                <w:color w:val="FF0000"/>
                <w:kern w:val="0"/>
                <w:sz w:val="22"/>
                <w:szCs w:val="22"/>
                <w:lang w:bidi="ar"/>
              </w:rPr>
              <w:t xml:space="preserve">        3、数量为暂估量，具体以实际发生为准。乙方不得以暂估值发生变化为由向     甲方提出涨价，索赔等。</w:t>
            </w:r>
            <w:r>
              <w:rPr>
                <w:rFonts w:hint="eastAsia" w:ascii="宋体" w:hAnsi="宋体" w:cs="宋体"/>
                <w:b/>
                <w:bCs/>
                <w:color w:val="FF0000"/>
                <w:kern w:val="0"/>
                <w:sz w:val="22"/>
                <w:szCs w:val="22"/>
                <w:lang w:bidi="ar"/>
              </w:rPr>
              <w:br w:type="textWrapping"/>
            </w:r>
            <w:r>
              <w:rPr>
                <w:rFonts w:hint="eastAsia" w:ascii="宋体" w:hAnsi="宋体" w:cs="宋体"/>
                <w:b/>
                <w:bCs/>
                <w:color w:val="FF0000"/>
                <w:kern w:val="0"/>
                <w:sz w:val="22"/>
                <w:szCs w:val="22"/>
                <w:lang w:bidi="ar"/>
              </w:rPr>
              <w:t xml:space="preserve">        4、此价格为单米包干价</w:t>
            </w:r>
          </w:p>
        </w:tc>
      </w:tr>
    </w:tbl>
    <w:p>
      <w:pPr>
        <w:pStyle w:val="2"/>
        <w:jc w:val="both"/>
      </w:pPr>
    </w:p>
    <w:p>
      <w:pPr>
        <w:pStyle w:val="18"/>
        <w:rPr>
          <w:sz w:val="21"/>
        </w:rPr>
      </w:pPr>
    </w:p>
    <w:p>
      <w:pPr>
        <w:pStyle w:val="18"/>
        <w:ind w:firstLine="0" w:firstLineChars="0"/>
      </w:pPr>
      <w:r>
        <w:rPr>
          <w:rFonts w:hint="eastAsia"/>
        </w:rPr>
        <w:t xml:space="preserve">                                      报价人：   （公章）</w:t>
      </w:r>
    </w:p>
    <w:p>
      <w:pPr>
        <w:pStyle w:val="18"/>
        <w:ind w:firstLine="560"/>
      </w:pPr>
      <w:r>
        <w:rPr>
          <w:rFonts w:hint="eastAsia"/>
        </w:rPr>
        <w:t xml:space="preserve">                                  2023年   月   日</w:t>
      </w:r>
    </w:p>
    <w:p>
      <w:pPr>
        <w:pStyle w:val="18"/>
        <w:ind w:firstLine="0" w:firstLineChars="0"/>
        <w:rPr>
          <w:b/>
          <w:bCs/>
        </w:rPr>
      </w:pPr>
    </w:p>
    <w:p>
      <w:pPr>
        <w:pStyle w:val="18"/>
        <w:ind w:firstLine="0" w:firstLineChars="0"/>
        <w:rPr>
          <w:b/>
          <w:bCs/>
        </w:rPr>
      </w:pPr>
    </w:p>
    <w:p>
      <w:pPr>
        <w:pStyle w:val="18"/>
        <w:ind w:firstLine="0" w:firstLineChars="0"/>
        <w:rPr>
          <w:b/>
          <w:bCs/>
        </w:rPr>
      </w:pPr>
    </w:p>
    <w:p>
      <w:pPr>
        <w:pStyle w:val="18"/>
        <w:ind w:firstLine="0" w:firstLineChars="0"/>
        <w:rPr>
          <w:b/>
          <w:bCs/>
        </w:rPr>
      </w:pPr>
    </w:p>
    <w:p>
      <w:pPr>
        <w:pStyle w:val="18"/>
        <w:ind w:firstLine="0" w:firstLineChars="0"/>
        <w:rPr>
          <w:b/>
          <w:bCs/>
        </w:rPr>
      </w:pPr>
    </w:p>
    <w:p>
      <w:pPr>
        <w:pStyle w:val="18"/>
        <w:ind w:firstLine="0" w:firstLineChars="0"/>
        <w:rPr>
          <w:b/>
          <w:bCs/>
        </w:rPr>
      </w:pPr>
    </w:p>
    <w:p>
      <w:pPr>
        <w:pStyle w:val="18"/>
        <w:ind w:firstLine="0" w:firstLineChars="0"/>
        <w:rPr>
          <w:b/>
          <w:bCs/>
        </w:rPr>
      </w:pPr>
    </w:p>
    <w:p>
      <w:pPr>
        <w:pStyle w:val="18"/>
        <w:ind w:firstLine="0" w:firstLineChars="0"/>
        <w:rPr>
          <w:b/>
          <w:bCs/>
        </w:rPr>
      </w:pPr>
      <w:r>
        <w:rPr>
          <w:rFonts w:hint="eastAsia"/>
          <w:b/>
          <w:bCs/>
        </w:rPr>
        <w:t xml:space="preserve">      </w:t>
      </w:r>
    </w:p>
    <w:p>
      <w:pPr>
        <w:pStyle w:val="18"/>
        <w:ind w:firstLine="0" w:firstLineChars="0"/>
        <w:rPr>
          <w:b/>
          <w:bCs/>
        </w:rPr>
      </w:pPr>
    </w:p>
    <w:p>
      <w:pPr>
        <w:pStyle w:val="18"/>
        <w:ind w:firstLine="0" w:firstLineChars="0"/>
        <w:rPr>
          <w:b/>
          <w:bCs/>
        </w:rPr>
      </w:pPr>
      <w:r>
        <w:rPr>
          <w:rFonts w:hint="eastAsia"/>
          <w:b/>
          <w:bCs/>
        </w:rPr>
        <w:t>九、合同标准文本</w:t>
      </w:r>
    </w:p>
    <w:p>
      <w:pPr>
        <w:pStyle w:val="18"/>
        <w:ind w:firstLine="0" w:firstLineChars="0"/>
        <w:rPr>
          <w:b/>
          <w:bCs/>
        </w:rPr>
      </w:pPr>
    </w:p>
    <w:p>
      <w:pPr>
        <w:pStyle w:val="18"/>
        <w:spacing w:line="360" w:lineRule="exact"/>
        <w:ind w:firstLine="0" w:firstLineChars="0"/>
        <w:jc w:val="center"/>
        <w:rPr>
          <w:rFonts w:ascii="宋体" w:hAnsi="宋体" w:cs="宋体"/>
          <w:sz w:val="32"/>
        </w:rPr>
      </w:pPr>
      <w:r>
        <w:rPr>
          <w:rFonts w:hint="eastAsia" w:ascii="宋体" w:hAnsi="宋体" w:cs="宋体"/>
          <w:sz w:val="32"/>
        </w:rPr>
        <w:t>安徽中冶淮海装配式建筑有限公司</w:t>
      </w:r>
    </w:p>
    <w:p>
      <w:pPr>
        <w:pStyle w:val="18"/>
        <w:spacing w:line="360" w:lineRule="exact"/>
        <w:ind w:firstLine="0" w:firstLineChars="0"/>
        <w:jc w:val="center"/>
        <w:rPr>
          <w:rFonts w:ascii="宋体" w:hAnsi="宋体" w:cs="宋体"/>
          <w:sz w:val="32"/>
        </w:rPr>
      </w:pPr>
      <w:r>
        <w:rPr>
          <w:rFonts w:hint="eastAsia" w:ascii="宋体" w:hAnsi="宋体" w:cs="宋体"/>
          <w:sz w:val="32"/>
        </w:rPr>
        <w:t>箱涵预制及安装劳务承包合同</w:t>
      </w:r>
    </w:p>
    <w:p>
      <w:pPr>
        <w:spacing w:line="440" w:lineRule="exact"/>
        <w:ind w:firstLine="4320" w:firstLineChars="1800"/>
        <w:jc w:val="left"/>
      </w:pPr>
      <w:r>
        <w:rPr>
          <w:rFonts w:hint="eastAsia" w:asciiTheme="minorEastAsia" w:hAnsiTheme="minorEastAsia" w:eastAsiaTheme="minorEastAsia" w:cstheme="minorEastAsia"/>
          <w:sz w:val="24"/>
        </w:rPr>
        <w:t>合同编号:ZYHH(JG)-LW-2023    -001</w:t>
      </w:r>
    </w:p>
    <w:p>
      <w:pPr>
        <w:snapToGrid w:val="0"/>
        <w:spacing w:line="360" w:lineRule="auto"/>
        <w:ind w:firstLine="480" w:firstLineChars="200"/>
        <w:rPr>
          <w:rFonts w:ascii="宋体" w:hAnsi="宋体" w:cs="宋体"/>
          <w:bCs/>
          <w:sz w:val="24"/>
        </w:rPr>
      </w:pPr>
      <w:r>
        <w:rPr>
          <w:rFonts w:hint="eastAsia" w:ascii="宋体" w:hAnsi="宋体" w:cs="宋体"/>
          <w:bCs/>
          <w:sz w:val="24"/>
        </w:rPr>
        <w:t>甲方：</w:t>
      </w:r>
      <w:r>
        <w:rPr>
          <w:rFonts w:hint="eastAsia" w:ascii="宋体" w:hAnsi="宋体" w:cs="宋体"/>
          <w:bCs/>
          <w:sz w:val="24"/>
          <w:u w:val="single"/>
        </w:rPr>
        <w:t>安徽中冶淮海装配式建筑有限公司</w:t>
      </w:r>
      <w:r>
        <w:rPr>
          <w:rFonts w:hint="eastAsia" w:ascii="宋体" w:hAnsi="宋体" w:cs="宋体"/>
          <w:bCs/>
          <w:sz w:val="24"/>
        </w:rPr>
        <w:t>(发包方)</w:t>
      </w:r>
    </w:p>
    <w:p>
      <w:pPr>
        <w:pStyle w:val="12"/>
        <w:ind w:firstLine="480" w:firstLineChars="200"/>
        <w:rPr>
          <w:rFonts w:hint="default" w:asciiTheme="minorEastAsia" w:hAnsiTheme="minorEastAsia" w:eastAsiaTheme="minorEastAsia" w:cstheme="minorEastAsia"/>
          <w:kern w:val="0"/>
          <w:lang w:val="zh-CN"/>
        </w:rPr>
      </w:pPr>
      <w:r>
        <w:rPr>
          <w:rFonts w:hAnsi="宋体" w:cs="宋体"/>
          <w:bCs/>
        </w:rPr>
        <w:t>乙方：</w:t>
      </w:r>
      <w:r>
        <w:rPr>
          <w:rFonts w:hAnsi="宋体" w:cs="宋体"/>
          <w:bCs/>
          <w:u w:val="single"/>
        </w:rPr>
        <w:t xml:space="preserve">                              </w:t>
      </w:r>
      <w:r>
        <w:rPr>
          <w:rFonts w:hAnsi="宋体" w:cs="宋体"/>
          <w:bCs/>
        </w:rPr>
        <w:t>(承包方)</w:t>
      </w:r>
    </w:p>
    <w:p>
      <w:pPr>
        <w:ind w:firstLine="720" w:firstLineChars="300"/>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rPr>
        <mc:AlternateContent>
          <mc:Choice Requires="wps">
            <w:drawing>
              <wp:anchor distT="0" distB="0" distL="762000" distR="63500" simplePos="0" relativeHeight="251662336" behindDoc="1" locked="0" layoutInCell="1" allowOverlap="1">
                <wp:simplePos x="0" y="0"/>
                <wp:positionH relativeFrom="margin">
                  <wp:posOffset>6801485</wp:posOffset>
                </wp:positionH>
                <wp:positionV relativeFrom="paragraph">
                  <wp:posOffset>389890</wp:posOffset>
                </wp:positionV>
                <wp:extent cx="93345" cy="255905"/>
                <wp:effectExtent l="0" t="0" r="0" b="0"/>
                <wp:wrapSquare wrapText="left"/>
                <wp:docPr id="4" name="文本框 2"/>
                <wp:cNvGraphicFramePr/>
                <a:graphic xmlns:a="http://schemas.openxmlformats.org/drawingml/2006/main">
                  <a:graphicData uri="http://schemas.microsoft.com/office/word/2010/wordprocessingShape">
                    <wps:wsp>
                      <wps:cNvSpPr txBox="1"/>
                      <wps:spPr>
                        <a:xfrm>
                          <a:off x="0" y="0"/>
                          <a:ext cx="93345" cy="255905"/>
                        </a:xfrm>
                        <a:prstGeom prst="rect">
                          <a:avLst/>
                        </a:prstGeom>
                        <a:noFill/>
                        <a:ln>
                          <a:noFill/>
                        </a:ln>
                        <a:effectLst/>
                      </wps:spPr>
                      <wps:txbx>
                        <w:txbxContent>
                          <w:p>
                            <w:pPr>
                              <w:pStyle w:val="36"/>
                              <w:shd w:val="clear" w:color="auto" w:fill="auto"/>
                              <w:spacing w:line="240" w:lineRule="auto"/>
                              <w:jc w:val="left"/>
                              <w:rPr>
                                <w:rFonts w:cs="Times New Roman"/>
                              </w:rPr>
                            </w:pPr>
                            <w:r>
                              <w:rPr>
                                <w:rStyle w:val="37"/>
                              </w:rPr>
                              <w:t>T,/</w:t>
                            </w:r>
                          </w:p>
                        </w:txbxContent>
                      </wps:txbx>
                      <wps:bodyPr vert="eaVert" lIns="0" tIns="0" rIns="0" bIns="0" upright="1"/>
                    </wps:wsp>
                  </a:graphicData>
                </a:graphic>
              </wp:anchor>
            </w:drawing>
          </mc:Choice>
          <mc:Fallback>
            <w:pict>
              <v:shape id="文本框 2" o:spid="_x0000_s1026" o:spt="202" type="#_x0000_t202" style="position:absolute;left:0pt;margin-left:535.55pt;margin-top:30.7pt;height:20.15pt;width:7.35pt;mso-position-horizontal-relative:margin;mso-wrap-distance-bottom:0pt;mso-wrap-distance-left:60pt;mso-wrap-distance-right:5pt;mso-wrap-distance-top:0pt;z-index:-251654144;mso-width-relative:page;mso-height-relative:page;" filled="f" stroked="f" coordsize="21600,21600" o:gfxdata="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0mWKX9YAAAAMAQAADwAAAAAAAAABACAAAAAiAAAAZHJzL2Rvd25y&#10;ZXYueG1sUEsBAhQAFAAAAAgAh07iQEX8Xy/HAQAAjAMAAA4AAAAAAAAAAQAgAAAAJQEAAGRycy9l&#10;Mm9Eb2MueG1sUEsFBgAAAAAGAAYAWQEAAF4FAAAAAA==&#10;">
                <v:fill on="f" focussize="0,0"/>
                <v:stroke on="f"/>
                <v:imagedata o:title=""/>
                <o:lock v:ext="edit" aspectratio="f"/>
                <v:textbox inset="0mm,0mm,0mm,0mm" style="layout-flow:vertical-ideographic;">
                  <w:txbxContent>
                    <w:p>
                      <w:pPr>
                        <w:pStyle w:val="36"/>
                        <w:shd w:val="clear" w:color="auto" w:fill="auto"/>
                        <w:spacing w:line="240" w:lineRule="auto"/>
                        <w:jc w:val="left"/>
                        <w:rPr>
                          <w:rFonts w:cs="Times New Roman"/>
                        </w:rPr>
                      </w:pPr>
                      <w:r>
                        <w:rPr>
                          <w:rStyle w:val="37"/>
                        </w:rPr>
                        <w:t>T,/</w:t>
                      </w:r>
                    </w:p>
                  </w:txbxContent>
                </v:textbox>
                <w10:wrap type="square" side="left"/>
              </v:shape>
            </w:pict>
          </mc:Fallback>
        </mc:AlternateContent>
      </w:r>
      <w:r>
        <w:rPr>
          <w:rFonts w:hint="eastAsia" w:asciiTheme="minorEastAsia" w:hAnsiTheme="minorEastAsia" w:eastAsiaTheme="minorEastAsia" w:cstheme="minorEastAsia"/>
          <w:kern w:val="0"/>
          <w:sz w:val="24"/>
          <w:lang w:val="zh-CN"/>
        </w:rPr>
        <w:t>鉴于甲乙双方已充分了解本生产线劳务承包具体情况，根据《中华人民共和国民法典》《中华人民共和国建筑法》《建设工程质量管理条例》及其他有关法律、行政法规，</w:t>
      </w:r>
      <w:r>
        <w:rPr>
          <w:rFonts w:hint="eastAsia" w:asciiTheme="minorEastAsia" w:hAnsiTheme="minorEastAsia" w:eastAsiaTheme="minorEastAsia" w:cstheme="minorEastAsia"/>
          <w:kern w:val="0"/>
          <w:sz w:val="24"/>
        </w:rPr>
        <w:t>遵循平等、</w:t>
      </w:r>
      <w:r>
        <w:rPr>
          <w:rFonts w:hint="eastAsia" w:asciiTheme="minorEastAsia" w:hAnsiTheme="minorEastAsia" w:eastAsiaTheme="minorEastAsia" w:cstheme="minorEastAsia"/>
          <w:kern w:val="0"/>
          <w:sz w:val="24"/>
          <w:lang w:val="zh-CN"/>
        </w:rPr>
        <w:t>自愿、公平和诚实信用的原则，双方经协商达成一致，订立本合同</w:t>
      </w:r>
      <w:r>
        <w:rPr>
          <w:rFonts w:hint="eastAsia" w:asciiTheme="minorEastAsia" w:hAnsiTheme="minorEastAsia" w:eastAsiaTheme="minorEastAsia" w:cstheme="minorEastAsia"/>
          <w:kern w:val="0"/>
          <w:sz w:val="24"/>
        </w:rPr>
        <w:t>。</w:t>
      </w:r>
    </w:p>
    <w:p>
      <w:pPr>
        <w:spacing w:line="480" w:lineRule="exact"/>
        <w:rPr>
          <w:rFonts w:asciiTheme="minorEastAsia" w:hAnsiTheme="minorEastAsia" w:eastAsiaTheme="minorEastAsia" w:cstheme="minorEastAsia"/>
          <w:sz w:val="24"/>
        </w:rPr>
      </w:pPr>
      <w:r>
        <w:rPr>
          <w:rFonts w:hint="eastAsia" w:asciiTheme="minorEastAsia" w:hAnsiTheme="minorEastAsia" w:eastAsiaTheme="minorEastAsia" w:cstheme="minorEastAsia"/>
          <w:b/>
          <w:bCs/>
          <w:sz w:val="24"/>
        </w:rPr>
        <w:t>一</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b/>
          <w:bCs/>
          <w:sz w:val="24"/>
        </w:rPr>
        <w:t>项目名称</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u w:val="single"/>
        </w:rPr>
        <w:t>箱涵预制及安装劳务作业项目</w:t>
      </w:r>
    </w:p>
    <w:p>
      <w:pPr>
        <w:pStyle w:val="3"/>
        <w:spacing w:line="480" w:lineRule="exact"/>
        <w:rPr>
          <w:rFonts w:asciiTheme="minorEastAsia" w:hAnsiTheme="minorEastAsia" w:eastAsiaTheme="minorEastAsia" w:cstheme="minorEastAsia"/>
          <w:b w:val="0"/>
          <w:sz w:val="24"/>
        </w:rPr>
      </w:pPr>
      <w:r>
        <w:rPr>
          <w:rFonts w:hint="eastAsia" w:asciiTheme="minorEastAsia" w:hAnsiTheme="minorEastAsia" w:eastAsiaTheme="minorEastAsia" w:cstheme="minorEastAsia"/>
          <w:b w:val="0"/>
          <w:bCs/>
          <w:sz w:val="24"/>
        </w:rPr>
        <w:t>二、</w:t>
      </w:r>
      <w:r>
        <w:rPr>
          <w:rFonts w:hint="eastAsia" w:asciiTheme="minorEastAsia" w:hAnsiTheme="minorEastAsia" w:eastAsiaTheme="minorEastAsia" w:cstheme="minorEastAsia"/>
          <w:bCs/>
          <w:sz w:val="24"/>
        </w:rPr>
        <w:t>承包范围</w:t>
      </w:r>
      <w:r>
        <w:rPr>
          <w:rFonts w:hint="eastAsia" w:asciiTheme="minorEastAsia" w:hAnsiTheme="minorEastAsia" w:eastAsiaTheme="minorEastAsia" w:cstheme="minorEastAsia"/>
          <w:b w:val="0"/>
          <w:sz w:val="24"/>
        </w:rPr>
        <w:t>：</w:t>
      </w:r>
      <w:r>
        <w:rPr>
          <w:rFonts w:hint="eastAsia" w:asciiTheme="minorEastAsia" w:hAnsiTheme="minorEastAsia" w:eastAsiaTheme="minorEastAsia" w:cstheme="minorEastAsia"/>
          <w:b w:val="0"/>
          <w:sz w:val="24"/>
          <w:u w:val="single"/>
        </w:rPr>
        <w:t xml:space="preserve">箱涵预制及安装劳务作业 </w:t>
      </w:r>
      <w:r>
        <w:rPr>
          <w:rFonts w:hint="eastAsia" w:asciiTheme="minorEastAsia" w:hAnsiTheme="minorEastAsia" w:eastAsiaTheme="minorEastAsia" w:cstheme="minorEastAsia"/>
          <w:b w:val="0"/>
          <w:sz w:val="24"/>
        </w:rPr>
        <w:t>按图纸及工程量清单要求完成全部施工劳务作业内容。</w:t>
      </w:r>
    </w:p>
    <w:p>
      <w:pPr>
        <w:spacing w:line="480" w:lineRule="exact"/>
        <w:rPr>
          <w:rFonts w:ascii="宋体" w:hAnsi="宋体" w:cs="宋体"/>
          <w:bCs/>
          <w:sz w:val="24"/>
        </w:rPr>
      </w:pPr>
      <w:r>
        <w:rPr>
          <w:rFonts w:hint="eastAsia" w:asciiTheme="minorEastAsia" w:hAnsiTheme="minorEastAsia" w:eastAsiaTheme="minorEastAsia" w:cstheme="minorEastAsia"/>
          <w:b/>
          <w:bCs/>
          <w:sz w:val="24"/>
        </w:rPr>
        <w:t>三、承包内容</w:t>
      </w:r>
      <w:r>
        <w:rPr>
          <w:rFonts w:hint="eastAsia" w:asciiTheme="minorEastAsia" w:hAnsiTheme="minorEastAsia" w:eastAsiaTheme="minorEastAsia" w:cstheme="minorEastAsia"/>
          <w:sz w:val="24"/>
        </w:rPr>
        <w:t>：</w:t>
      </w:r>
    </w:p>
    <w:p>
      <w:pPr>
        <w:pStyle w:val="7"/>
        <w:ind w:firstLine="480"/>
        <w:rPr>
          <w:rFonts w:asciiTheme="minorEastAsia" w:hAnsiTheme="minorEastAsia" w:eastAsiaTheme="minorEastAsia" w:cstheme="minorEastAsia"/>
          <w:b/>
          <w:bCs/>
          <w:kern w:val="0"/>
          <w:sz w:val="24"/>
          <w:szCs w:val="24"/>
          <w:lang w:val="zh-CN"/>
        </w:rPr>
      </w:pPr>
      <w:r>
        <w:rPr>
          <w:rFonts w:hint="eastAsia" w:asciiTheme="minorEastAsia" w:hAnsiTheme="minorEastAsia" w:eastAsiaTheme="minorEastAsia" w:cstheme="minorEastAsia"/>
          <w:b/>
          <w:bCs/>
          <w:kern w:val="0"/>
          <w:sz w:val="24"/>
          <w:szCs w:val="24"/>
        </w:rPr>
        <w:t>3.1</w:t>
      </w:r>
      <w:r>
        <w:rPr>
          <w:rFonts w:hint="eastAsia" w:asciiTheme="minorEastAsia" w:hAnsiTheme="minorEastAsia" w:eastAsiaTheme="minorEastAsia" w:cstheme="minorEastAsia"/>
          <w:b/>
          <w:bCs/>
          <w:kern w:val="0"/>
          <w:sz w:val="24"/>
          <w:szCs w:val="24"/>
          <w:lang w:val="zh-CN"/>
        </w:rPr>
        <w:t>依据甲方下发的构件图纸、图集和甲方生产计划文件要求，完成承包构件生产及验收。即</w:t>
      </w:r>
      <w:r>
        <w:rPr>
          <w:rFonts w:hint="eastAsia" w:asciiTheme="minorEastAsia" w:hAnsiTheme="minorEastAsia" w:eastAsiaTheme="minorEastAsia" w:cstheme="minorEastAsia"/>
          <w:kern w:val="0"/>
          <w:sz w:val="24"/>
          <w:szCs w:val="24"/>
        </w:rPr>
        <w:t>材料卸车</w:t>
      </w:r>
      <w:r>
        <w:rPr>
          <w:rFonts w:hint="eastAsia" w:asciiTheme="minorEastAsia" w:hAnsiTheme="minorEastAsia" w:eastAsiaTheme="minorEastAsia" w:cstheme="minorEastAsia"/>
          <w:kern w:val="0"/>
          <w:sz w:val="24"/>
          <w:szCs w:val="24"/>
          <w:lang w:val="zh-CN"/>
        </w:rPr>
        <w:t>、P</w:t>
      </w:r>
      <w:r>
        <w:rPr>
          <w:rFonts w:asciiTheme="minorEastAsia" w:hAnsiTheme="minorEastAsia" w:eastAsiaTheme="minorEastAsia" w:cstheme="minorEastAsia"/>
          <w:kern w:val="0"/>
          <w:sz w:val="24"/>
          <w:szCs w:val="24"/>
          <w:lang w:val="zh-CN"/>
        </w:rPr>
        <w:t>C</w:t>
      </w:r>
      <w:r>
        <w:rPr>
          <w:rFonts w:hint="eastAsia" w:asciiTheme="minorEastAsia" w:hAnsiTheme="minorEastAsia" w:eastAsiaTheme="minorEastAsia" w:cstheme="minorEastAsia"/>
          <w:kern w:val="0"/>
          <w:sz w:val="24"/>
          <w:szCs w:val="24"/>
          <w:lang w:val="zh-CN"/>
        </w:rPr>
        <w:t>构件生产、</w:t>
      </w:r>
      <w:r>
        <w:rPr>
          <w:rFonts w:hint="eastAsia" w:asciiTheme="minorEastAsia" w:hAnsiTheme="minorEastAsia" w:eastAsiaTheme="minorEastAsia" w:cstheme="minorEastAsia"/>
          <w:kern w:val="0"/>
          <w:sz w:val="24"/>
          <w:szCs w:val="24"/>
        </w:rPr>
        <w:t>转运</w:t>
      </w:r>
      <w:r>
        <w:rPr>
          <w:rFonts w:hint="eastAsia" w:asciiTheme="minorEastAsia" w:hAnsiTheme="minorEastAsia" w:eastAsiaTheme="minorEastAsia" w:cstheme="minorEastAsia"/>
          <w:kern w:val="0"/>
          <w:sz w:val="24"/>
          <w:szCs w:val="24"/>
          <w:lang w:val="zh-CN"/>
        </w:rPr>
        <w:t>、</w:t>
      </w:r>
      <w:r>
        <w:rPr>
          <w:rFonts w:hint="eastAsia" w:asciiTheme="minorEastAsia" w:hAnsiTheme="minorEastAsia" w:eastAsiaTheme="minorEastAsia" w:cstheme="minorEastAsia"/>
          <w:kern w:val="0"/>
          <w:sz w:val="24"/>
          <w:szCs w:val="24"/>
        </w:rPr>
        <w:t>码</w:t>
      </w:r>
      <w:r>
        <w:rPr>
          <w:rFonts w:hint="eastAsia" w:asciiTheme="minorEastAsia" w:hAnsiTheme="minorEastAsia" w:eastAsiaTheme="minorEastAsia" w:cstheme="minorEastAsia"/>
          <w:kern w:val="0"/>
          <w:sz w:val="24"/>
          <w:szCs w:val="24"/>
          <w:lang w:val="zh-CN"/>
        </w:rPr>
        <w:t>放</w:t>
      </w:r>
      <w:r>
        <w:rPr>
          <w:rFonts w:hint="eastAsia" w:asciiTheme="minorEastAsia" w:hAnsiTheme="minorEastAsia" w:eastAsiaTheme="minorEastAsia" w:cstheme="minorEastAsia"/>
          <w:kern w:val="0"/>
          <w:sz w:val="24"/>
          <w:szCs w:val="24"/>
        </w:rPr>
        <w:t>到货架</w:t>
      </w:r>
      <w:r>
        <w:rPr>
          <w:rFonts w:hint="eastAsia" w:asciiTheme="minorEastAsia" w:hAnsiTheme="minorEastAsia" w:eastAsiaTheme="minorEastAsia" w:cstheme="minorEastAsia"/>
          <w:kern w:val="0"/>
          <w:sz w:val="24"/>
          <w:szCs w:val="24"/>
          <w:lang w:val="zh-CN"/>
        </w:rPr>
        <w:t>等全过程所需要的一切人员及相关的工作内容。</w:t>
      </w:r>
    </w:p>
    <w:p>
      <w:pPr>
        <w:ind w:firstLine="482" w:firstLineChars="200"/>
        <w:rPr>
          <w:rFonts w:asciiTheme="minorEastAsia" w:hAnsiTheme="minorEastAsia" w:eastAsiaTheme="minorEastAsia" w:cstheme="minorEastAsia"/>
          <w:b/>
          <w:bCs/>
          <w:kern w:val="0"/>
          <w:sz w:val="24"/>
          <w:lang w:val="zh-CN"/>
        </w:rPr>
      </w:pPr>
      <w:r>
        <w:rPr>
          <w:rFonts w:hint="eastAsia" w:asciiTheme="minorEastAsia" w:hAnsiTheme="minorEastAsia" w:eastAsiaTheme="minorEastAsia" w:cstheme="minorEastAsia"/>
          <w:b/>
          <w:bCs/>
          <w:kern w:val="0"/>
          <w:sz w:val="24"/>
          <w:lang w:val="zh-CN"/>
        </w:rPr>
        <w:t>包括但不限于：</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a、预制构件生产线操作，配合生产线的维修、保养；</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b、生产平台打磨、清理、涂刷脱模剂；</w:t>
      </w:r>
    </w:p>
    <w:p>
      <w:pPr>
        <w:ind w:firstLine="480" w:firstLineChars="200"/>
        <w:rPr>
          <w:rFonts w:asciiTheme="minorEastAsia" w:hAnsiTheme="minorEastAsia" w:eastAsiaTheme="minorEastAsia" w:cstheme="minorEastAsia"/>
          <w:kern w:val="0"/>
          <w:sz w:val="24"/>
        </w:rPr>
      </w:pPr>
      <w:r>
        <w:rPr>
          <w:rFonts w:asciiTheme="minorEastAsia" w:hAnsiTheme="minorEastAsia" w:eastAsiaTheme="minorEastAsia" w:cstheme="minorEastAsia"/>
          <w:kern w:val="0"/>
          <w:sz w:val="24"/>
          <w:lang w:val="zh-CN"/>
        </w:rPr>
        <w:t>c</w:t>
      </w:r>
      <w:r>
        <w:rPr>
          <w:rFonts w:hint="eastAsia" w:asciiTheme="minorEastAsia" w:hAnsiTheme="minorEastAsia" w:eastAsiaTheme="minorEastAsia" w:cstheme="minorEastAsia"/>
          <w:kern w:val="0"/>
          <w:sz w:val="24"/>
          <w:lang w:val="zh-CN"/>
        </w:rPr>
        <w:t>、模具组装、拆卸、打磨清理、水洗剂、磁条安拆、夹钢板U型皮条安拆，</w:t>
      </w:r>
      <w:r>
        <w:rPr>
          <w:rFonts w:hint="eastAsia" w:asciiTheme="minorEastAsia" w:hAnsiTheme="minorEastAsia" w:eastAsiaTheme="minorEastAsia" w:cstheme="minorEastAsia"/>
          <w:kern w:val="0"/>
          <w:sz w:val="24"/>
        </w:rPr>
        <w:t>废旧模具分项打包、入库；</w:t>
      </w:r>
    </w:p>
    <w:p>
      <w:pPr>
        <w:ind w:firstLine="480" w:firstLineChars="200"/>
        <w:rPr>
          <w:rFonts w:asciiTheme="minorEastAsia" w:hAnsiTheme="minorEastAsia" w:eastAsiaTheme="minorEastAsia" w:cstheme="minorEastAsia"/>
          <w:kern w:val="0"/>
          <w:sz w:val="24"/>
          <w:lang w:val="zh-CN"/>
        </w:rPr>
      </w:pPr>
      <w:r>
        <w:rPr>
          <w:rFonts w:asciiTheme="minorEastAsia" w:hAnsiTheme="minorEastAsia" w:eastAsiaTheme="minorEastAsia" w:cstheme="minorEastAsia"/>
          <w:kern w:val="0"/>
          <w:sz w:val="24"/>
          <w:lang w:val="zh-CN"/>
        </w:rPr>
        <w:t>d</w:t>
      </w:r>
      <w:r>
        <w:rPr>
          <w:rFonts w:hint="eastAsia" w:asciiTheme="minorEastAsia" w:hAnsiTheme="minorEastAsia" w:eastAsiaTheme="minorEastAsia" w:cstheme="minorEastAsia"/>
          <w:kern w:val="0"/>
          <w:sz w:val="24"/>
          <w:lang w:val="zh-CN"/>
        </w:rPr>
        <w:t>、钢筋加工成品件领取、埋件、工装预埋件、水电配件的埋件的定位、安放等；</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e、混凝土浇筑（混凝土浇筑完毕后表面不允许出现胀模、蜂窝、麻面、气泡、爆皮、裂纹等质量缺陷）；</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f、混凝土养护（自然养护、蒸汽养护及蒸汽养护过程监控、养护温度记录），构件蒸汽养护结束入库时抗压强度必须达到设计强度的75%。</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g、线盒安装、埋件预留、孔洞预留及模具封堵；</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h、构件编码喷涂、吊装、运输（厂区范围内）；</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i、预制构件和甲供材料的装车、卸车、码放</w:t>
      </w:r>
      <w:r>
        <w:rPr>
          <w:rFonts w:hint="eastAsia" w:asciiTheme="minorEastAsia" w:hAnsiTheme="minorEastAsia" w:eastAsiaTheme="minorEastAsia" w:cstheme="minorEastAsia"/>
          <w:kern w:val="0"/>
          <w:sz w:val="24"/>
        </w:rPr>
        <w:t>及生产材料盘存</w:t>
      </w:r>
      <w:r>
        <w:rPr>
          <w:rFonts w:hint="eastAsia" w:asciiTheme="minorEastAsia" w:hAnsiTheme="minorEastAsia" w:eastAsiaTheme="minorEastAsia" w:cstheme="minorEastAsia"/>
          <w:kern w:val="0"/>
          <w:sz w:val="24"/>
          <w:lang w:val="zh-CN"/>
        </w:rPr>
        <w:t>；</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j、配合厂区范围内的所有机械、设备的维修、保养工作；</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k、厂区范围内的所有机械设备、吊车、运输车需配备专门的司机；</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rPr>
        <w:t>l</w:t>
      </w:r>
      <w:r>
        <w:rPr>
          <w:rFonts w:hint="eastAsia" w:asciiTheme="minorEastAsia" w:hAnsiTheme="minorEastAsia" w:eastAsiaTheme="minorEastAsia" w:cstheme="minorEastAsia"/>
          <w:kern w:val="0"/>
          <w:sz w:val="24"/>
          <w:lang w:val="zh-CN"/>
        </w:rPr>
        <w:t>、构件使用混凝土布料机、鱼雷罐、混凝土运输罐车、料场清理及生产过程中建筑垃圾清理并运输到甲方指定地点；</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m、原材料试验检验的所有配合工作（配合钢筋、混凝土原材料取样、送检、混凝土试块制作、送检）；</w:t>
      </w:r>
    </w:p>
    <w:p>
      <w:pPr>
        <w:ind w:firstLine="480" w:firstLineChars="200"/>
        <w:rPr>
          <w:rFonts w:asciiTheme="minorEastAsia" w:hAnsiTheme="minorEastAsia" w:eastAsiaTheme="minorEastAsia" w:cstheme="minorEastAsia"/>
          <w:b/>
          <w:bCs/>
          <w:kern w:val="0"/>
          <w:sz w:val="24"/>
        </w:rPr>
      </w:pPr>
      <w:r>
        <w:rPr>
          <w:rFonts w:hint="eastAsia" w:asciiTheme="minorEastAsia" w:hAnsiTheme="minorEastAsia" w:eastAsiaTheme="minorEastAsia" w:cstheme="minorEastAsia"/>
          <w:kern w:val="0"/>
          <w:sz w:val="24"/>
          <w:lang w:val="zh-CN"/>
        </w:rPr>
        <w:t>n、作业区与生活区的卫生清洁工作，</w:t>
      </w:r>
      <w:r>
        <w:rPr>
          <w:rFonts w:hint="eastAsia" w:asciiTheme="minorEastAsia" w:hAnsiTheme="minorEastAsia" w:eastAsiaTheme="minorEastAsia" w:cstheme="minorEastAsia"/>
          <w:kern w:val="0"/>
          <w:sz w:val="24"/>
        </w:rPr>
        <w:t>保证</w:t>
      </w:r>
      <w:r>
        <w:rPr>
          <w:rFonts w:hint="eastAsia" w:asciiTheme="minorEastAsia" w:hAnsiTheme="minorEastAsia" w:eastAsiaTheme="minorEastAsia" w:cstheme="minorEastAsia"/>
          <w:kern w:val="0"/>
          <w:sz w:val="24"/>
          <w:lang w:val="zh-CN"/>
        </w:rPr>
        <w:t>生产车间</w:t>
      </w:r>
      <w:r>
        <w:rPr>
          <w:rFonts w:hint="eastAsia" w:asciiTheme="minorEastAsia" w:hAnsiTheme="minorEastAsia" w:eastAsiaTheme="minorEastAsia" w:cstheme="minorEastAsia"/>
          <w:kern w:val="0"/>
          <w:sz w:val="24"/>
        </w:rPr>
        <w:t>及</w:t>
      </w:r>
      <w:r>
        <w:rPr>
          <w:rFonts w:hint="eastAsia" w:asciiTheme="minorEastAsia" w:hAnsiTheme="minorEastAsia" w:eastAsiaTheme="minorEastAsia" w:cstheme="minorEastAsia"/>
          <w:kern w:val="0"/>
          <w:sz w:val="24"/>
          <w:lang w:val="zh-CN"/>
        </w:rPr>
        <w:t>生活区的餐厅、浴室、厕所等卫生整洁；</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o、需要上交的资料有：构件生产过程工序交接单、构件养护过程温度变化、时间记录表。使构件生产养护全过程处于受控状态。</w:t>
      </w:r>
    </w:p>
    <w:p>
      <w:pPr>
        <w:ind w:firstLine="480" w:firstLineChars="200"/>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p、乙方负责堆场构件整理，配合甲方堆场6S管理，堆场空间规整的责任人。</w:t>
      </w:r>
    </w:p>
    <w:p>
      <w:pPr>
        <w:ind w:firstLine="480" w:firstLineChars="200"/>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q、配合甲方生产升级过程中的其它事项。</w:t>
      </w:r>
    </w:p>
    <w:p>
      <w:pPr>
        <w:pStyle w:val="2"/>
        <w:ind w:firstLine="480" w:firstLineChars="200"/>
        <w:jc w:val="both"/>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r、箱涵安装现场听从甲方指挥安装工作（包含不限于含吊装指挥工人、辅助校正、橡胶垫圈安装，胶条、丁基胶、砂浆封堵）</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包括安装工程在施工图上的预留孔、洞的预留及预埋、安装；混凝土结构超出规范标准的剔凿修复；周转材料的装车、卸车、倒运、码垛及维修管理、各种甲供材料的卸车、二次搬运；月度、季度、半年度及年度盘点等工作；施工区域内的电力照明设施的维护；施工区域内的安全文明施工、各种抢险（下雨、刮风、下雪、救火等）及迎接上级公司、政府部门各种检查用工。材料试验、检验发生的所有配合工作、工完料净、将建筑垃圾清理至甲方指定地点。</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除上述工作外，由上述工作可合理推论得到的对完成上述工作的稳定、完整、安全、可靠及有效运行所包含的全部工作。</w:t>
      </w:r>
    </w:p>
    <w:p>
      <w:pPr>
        <w:spacing w:line="480" w:lineRule="exact"/>
        <w:rPr>
          <w:rFonts w:asciiTheme="minorEastAsia" w:hAnsiTheme="minorEastAsia" w:eastAsiaTheme="minorEastAsia" w:cstheme="minorEastAsia"/>
          <w:sz w:val="24"/>
        </w:rPr>
      </w:pPr>
      <w:r>
        <w:rPr>
          <w:rFonts w:hint="eastAsia" w:asciiTheme="minorEastAsia" w:hAnsiTheme="minorEastAsia" w:eastAsiaTheme="minorEastAsia" w:cstheme="minorEastAsia"/>
          <w:b/>
          <w:bCs/>
          <w:sz w:val="24"/>
        </w:rPr>
        <w:t>四、验收办法：</w:t>
      </w:r>
    </w:p>
    <w:p>
      <w:pPr>
        <w:spacing w:line="480" w:lineRule="exact"/>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以国家现行有关施工及验收规范为标准，严格按甲方要求验收。</w:t>
      </w:r>
    </w:p>
    <w:p>
      <w:pPr>
        <w:spacing w:line="480" w:lineRule="exact"/>
        <w:rPr>
          <w:rFonts w:asciiTheme="minorEastAsia" w:hAnsiTheme="minorEastAsia" w:eastAsiaTheme="minorEastAsia" w:cstheme="minorEastAsia"/>
          <w:b/>
          <w:bCs/>
          <w:sz w:val="24"/>
        </w:rPr>
      </w:pPr>
      <w:r>
        <w:rPr>
          <w:rFonts w:hint="eastAsia" w:asciiTheme="minorEastAsia" w:hAnsiTheme="minorEastAsia" w:cstheme="minorEastAsia"/>
          <w:b/>
          <w:bCs/>
          <w:sz w:val="24"/>
        </w:rPr>
        <w:t>五、</w:t>
      </w:r>
      <w:r>
        <w:rPr>
          <w:rFonts w:hint="eastAsia" w:asciiTheme="minorEastAsia" w:hAnsiTheme="minorEastAsia" w:eastAsiaTheme="minorEastAsia" w:cstheme="minorEastAsia"/>
          <w:b/>
          <w:bCs/>
          <w:sz w:val="24"/>
        </w:rPr>
        <w:t>工程价款、付款方式、履约保证金：</w:t>
      </w:r>
    </w:p>
    <w:p>
      <w:pPr>
        <w:spacing w:line="480" w:lineRule="exact"/>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1、箱涵每米</w:t>
      </w:r>
      <w:r>
        <w:rPr>
          <w:rFonts w:hint="eastAsia" w:asciiTheme="minorEastAsia" w:hAnsiTheme="minorEastAsia" w:eastAsiaTheme="minorEastAsia" w:cstheme="minorEastAsia"/>
          <w:kern w:val="0"/>
          <w:sz w:val="24"/>
        </w:rPr>
        <w:t>综合单价</w:t>
      </w:r>
      <w:r>
        <w:rPr>
          <w:rFonts w:hint="eastAsia" w:asciiTheme="minorEastAsia" w:hAnsiTheme="minorEastAsia" w:eastAsiaTheme="minorEastAsia" w:cstheme="minorEastAsia"/>
          <w:sz w:val="24"/>
        </w:rPr>
        <w:t>：详见附件1</w:t>
      </w:r>
    </w:p>
    <w:p>
      <w:pPr>
        <w:spacing w:line="480" w:lineRule="exact"/>
        <w:ind w:firstLine="480" w:firstLineChars="200"/>
        <w:rPr>
          <w:rFonts w:asciiTheme="minorEastAsia" w:hAnsiTheme="minorEastAsia" w:cstheme="minorEastAsia"/>
          <w:sz w:val="24"/>
        </w:rPr>
      </w:pPr>
      <w:r>
        <w:rPr>
          <w:rFonts w:hint="eastAsia" w:asciiTheme="minorEastAsia" w:hAnsiTheme="minorEastAsia" w:eastAsiaTheme="minorEastAsia" w:cstheme="minorEastAsia"/>
          <w:sz w:val="24"/>
        </w:rPr>
        <w:t>2、</w:t>
      </w:r>
      <w:r>
        <w:rPr>
          <w:rFonts w:hint="eastAsia" w:asciiTheme="minorEastAsia" w:hAnsiTheme="minorEastAsia" w:cstheme="minorEastAsia"/>
          <w:sz w:val="24"/>
        </w:rPr>
        <w:t>结算</w:t>
      </w:r>
      <w:r>
        <w:rPr>
          <w:rFonts w:hint="eastAsia" w:asciiTheme="minorEastAsia" w:hAnsiTheme="minorEastAsia" w:eastAsiaTheme="minorEastAsia" w:cstheme="minorEastAsia"/>
          <w:sz w:val="24"/>
        </w:rPr>
        <w:t>方式：</w:t>
      </w:r>
      <w:r>
        <w:rPr>
          <w:rFonts w:hint="eastAsia" w:asciiTheme="minorEastAsia" w:hAnsiTheme="minorEastAsia" w:eastAsiaTheme="minorEastAsia" w:cstheme="minorEastAsia"/>
          <w:kern w:val="0"/>
          <w:sz w:val="24"/>
          <w:lang w:val="zh-CN"/>
        </w:rPr>
        <w:t>按月结算：每月</w:t>
      </w:r>
      <w:r>
        <w:rPr>
          <w:rFonts w:hint="eastAsia" w:asciiTheme="minorEastAsia" w:hAnsiTheme="minorEastAsia" w:eastAsiaTheme="minorEastAsia" w:cstheme="minorEastAsia"/>
          <w:kern w:val="0"/>
          <w:sz w:val="24"/>
        </w:rPr>
        <w:t>10</w:t>
      </w:r>
      <w:r>
        <w:rPr>
          <w:rFonts w:hint="eastAsia" w:asciiTheme="minorEastAsia" w:hAnsiTheme="minorEastAsia" w:eastAsiaTheme="minorEastAsia" w:cstheme="minorEastAsia"/>
          <w:kern w:val="0"/>
          <w:sz w:val="24"/>
          <w:lang w:val="zh-CN"/>
        </w:rPr>
        <w:t>号前乙方与甲方完成上月的结算工作；乙方应在当月</w:t>
      </w:r>
      <w:r>
        <w:rPr>
          <w:rFonts w:hint="eastAsia" w:asciiTheme="minorEastAsia" w:hAnsiTheme="minorEastAsia" w:eastAsiaTheme="minorEastAsia" w:cstheme="minorEastAsia"/>
          <w:kern w:val="0"/>
          <w:sz w:val="24"/>
        </w:rPr>
        <w:t>5</w:t>
      </w:r>
      <w:r>
        <w:rPr>
          <w:rFonts w:hint="eastAsia" w:asciiTheme="minorEastAsia" w:hAnsiTheme="minorEastAsia" w:eastAsiaTheme="minorEastAsia" w:cstheme="minorEastAsia"/>
          <w:kern w:val="0"/>
          <w:sz w:val="24"/>
          <w:lang w:val="zh-CN"/>
        </w:rPr>
        <w:t>号前向甲方提交上月结算资料，甲方（生产厂）于收到结算资料后2日内完成审核,乙方根据生产厂确认的对账单到经营管理部办理结算，并根据经营管理部提供的结算单据在当月1</w:t>
      </w:r>
      <w:r>
        <w:rPr>
          <w:rFonts w:hint="eastAsia" w:asciiTheme="minorEastAsia" w:hAnsiTheme="minorEastAsia" w:eastAsiaTheme="minorEastAsia" w:cstheme="minorEastAsia"/>
          <w:kern w:val="0"/>
          <w:sz w:val="24"/>
        </w:rPr>
        <w:t>0</w:t>
      </w:r>
      <w:r>
        <w:rPr>
          <w:rFonts w:hint="eastAsia" w:asciiTheme="minorEastAsia" w:hAnsiTheme="minorEastAsia" w:eastAsiaTheme="minorEastAsia" w:cstheme="minorEastAsia"/>
          <w:kern w:val="0"/>
          <w:sz w:val="24"/>
          <w:lang w:val="zh-CN"/>
        </w:rPr>
        <w:t>号内前开具劳务类增值税（</w:t>
      </w:r>
      <w:r>
        <w:rPr>
          <w:rFonts w:hint="eastAsia" w:asciiTheme="minorEastAsia" w:hAnsiTheme="minorEastAsia" w:eastAsiaTheme="minorEastAsia" w:cstheme="minorEastAsia"/>
          <w:kern w:val="0"/>
          <w:sz w:val="24"/>
          <w:u w:val="single"/>
        </w:rPr>
        <w:t>3</w:t>
      </w:r>
      <w:r>
        <w:rPr>
          <w:rFonts w:hint="eastAsia" w:asciiTheme="minorEastAsia" w:hAnsiTheme="minorEastAsia" w:eastAsiaTheme="minorEastAsia" w:cstheme="minorEastAsia"/>
          <w:kern w:val="0"/>
          <w:sz w:val="24"/>
          <w:u w:val="single"/>
          <w:lang w:val="zh-CN"/>
        </w:rPr>
        <w:t xml:space="preserve"> </w:t>
      </w:r>
      <w:r>
        <w:rPr>
          <w:rFonts w:hint="eastAsia" w:asciiTheme="minorEastAsia" w:hAnsiTheme="minorEastAsia" w:eastAsiaTheme="minorEastAsia" w:cstheme="minorEastAsia"/>
          <w:kern w:val="0"/>
          <w:sz w:val="24"/>
          <w:lang w:val="zh-CN"/>
        </w:rPr>
        <w:t>%增值税专票）发票，甲方（财务部）收到发票并入账后</w:t>
      </w:r>
      <w:r>
        <w:rPr>
          <w:rFonts w:hint="eastAsia" w:asciiTheme="minorEastAsia" w:hAnsiTheme="minorEastAsia" w:eastAsiaTheme="minorEastAsia" w:cstheme="minorEastAsia"/>
          <w:kern w:val="0"/>
          <w:sz w:val="24"/>
        </w:rPr>
        <w:t>1个月</w:t>
      </w:r>
      <w:r>
        <w:rPr>
          <w:rFonts w:hint="eastAsia" w:asciiTheme="minorEastAsia" w:hAnsiTheme="minorEastAsia" w:eastAsiaTheme="minorEastAsia" w:cstheme="minorEastAsia"/>
          <w:kern w:val="0"/>
          <w:sz w:val="24"/>
          <w:lang w:val="zh-CN"/>
        </w:rPr>
        <w:t>内支付当期劳务费的</w:t>
      </w:r>
      <w:r>
        <w:rPr>
          <w:rFonts w:hint="eastAsia" w:asciiTheme="minorEastAsia" w:hAnsiTheme="minorEastAsia" w:eastAsiaTheme="minorEastAsia" w:cstheme="minorEastAsia"/>
          <w:kern w:val="0"/>
          <w:sz w:val="24"/>
        </w:rPr>
        <w:t>95</w:t>
      </w:r>
      <w:r>
        <w:rPr>
          <w:rFonts w:hint="eastAsia" w:asciiTheme="minorEastAsia" w:hAnsiTheme="minorEastAsia" w:eastAsiaTheme="minorEastAsia" w:cstheme="minorEastAsia"/>
          <w:kern w:val="0"/>
          <w:sz w:val="24"/>
          <w:lang w:val="zh-CN"/>
        </w:rPr>
        <w:t>%，剩余</w:t>
      </w:r>
      <w:r>
        <w:rPr>
          <w:rFonts w:hint="eastAsia" w:asciiTheme="minorEastAsia" w:hAnsiTheme="minorEastAsia" w:eastAsiaTheme="minorEastAsia" w:cstheme="minorEastAsia"/>
          <w:kern w:val="0"/>
          <w:sz w:val="24"/>
        </w:rPr>
        <w:t>5%的劳务费待业主方结算付款后一次性付清</w:t>
      </w:r>
      <w:r>
        <w:rPr>
          <w:rFonts w:hint="eastAsia" w:asciiTheme="minorEastAsia" w:hAnsiTheme="minorEastAsia" w:eastAsiaTheme="minorEastAsia" w:cstheme="minorEastAsia"/>
          <w:kern w:val="0"/>
          <w:sz w:val="24"/>
          <w:lang w:val="zh-CN"/>
        </w:rPr>
        <w:t>。如因乙方原因逾期提供结算资料并开具发票的，甲方有权顺延付款时间且不承担违约责任。</w:t>
      </w:r>
    </w:p>
    <w:p>
      <w:pPr>
        <w:spacing w:line="312" w:lineRule="auto"/>
        <w:ind w:firstLine="480" w:firstLineChars="200"/>
        <w:rPr>
          <w:rFonts w:ascii="宋体" w:hAnsi="宋体"/>
          <w:sz w:val="24"/>
        </w:rPr>
      </w:pPr>
      <w:r>
        <w:rPr>
          <w:rFonts w:hint="eastAsia" w:asciiTheme="minorEastAsia" w:hAnsiTheme="minorEastAsia" w:cstheme="minorEastAsia"/>
          <w:sz w:val="24"/>
        </w:rPr>
        <w:t>3、</w:t>
      </w:r>
      <w:r>
        <w:rPr>
          <w:rFonts w:hint="eastAsia" w:ascii="宋体" w:hAnsi="宋体" w:cs="宋体"/>
          <w:kern w:val="0"/>
          <w:sz w:val="24"/>
        </w:rPr>
        <w:t>支付方式：银行承兑( √ )（乙方承担贴息）、银行转账(√)、供应链金融(  )（贴息费用由甲乙双方均摊）。</w:t>
      </w:r>
      <w:r>
        <w:rPr>
          <w:rFonts w:hint="eastAsia" w:ascii="宋体" w:hAnsi="宋体"/>
          <w:sz w:val="24"/>
        </w:rPr>
        <w:t>如乙方银行账户资料发生变更，须提前10个工作日书面通知甲方，否则一切后果由乙方承担。</w:t>
      </w:r>
    </w:p>
    <w:p>
      <w:pPr>
        <w:spacing w:line="480" w:lineRule="exact"/>
        <w:ind w:firstLine="480" w:firstLineChars="200"/>
        <w:rPr>
          <w:rFonts w:asciiTheme="minorEastAsia" w:hAnsiTheme="minorEastAsia" w:eastAsiaTheme="minorEastAsia" w:cstheme="minorEastAsia"/>
          <w:sz w:val="24"/>
        </w:rPr>
      </w:pPr>
      <w:r>
        <w:rPr>
          <w:rFonts w:hint="eastAsia" w:asciiTheme="minorEastAsia" w:hAnsiTheme="minorEastAsia" w:cstheme="minorEastAsia"/>
          <w:sz w:val="24"/>
        </w:rPr>
        <w:t>4</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lang w:val="zh-CN"/>
        </w:rPr>
        <w:t>合同工期：</w:t>
      </w:r>
      <w:r>
        <w:rPr>
          <w:rFonts w:hint="eastAsia" w:asciiTheme="minorEastAsia" w:hAnsiTheme="minorEastAsia" w:eastAsiaTheme="minorEastAsia" w:cstheme="minorEastAsia"/>
          <w:sz w:val="24"/>
        </w:rPr>
        <w:t>在规定的时间内完成全部作业内容，</w:t>
      </w:r>
      <w:r>
        <w:rPr>
          <w:rFonts w:hint="eastAsia" w:asciiTheme="minorEastAsia" w:hAnsiTheme="minorEastAsia" w:eastAsiaTheme="minorEastAsia" w:cstheme="minorEastAsia"/>
          <w:sz w:val="24"/>
          <w:u w:val="single"/>
        </w:rPr>
        <w:t>从合同签订2023年  月 日开始预制至2023年   月   日全部预制完成</w:t>
      </w:r>
      <w:r>
        <w:rPr>
          <w:rFonts w:hint="eastAsia" w:asciiTheme="minorEastAsia" w:hAnsiTheme="minorEastAsia" w:eastAsiaTheme="minorEastAsia" w:cstheme="minorEastAsia"/>
          <w:sz w:val="24"/>
        </w:rPr>
        <w:t>。（具体条款与甲方和业主签订的主合同保持一致）</w:t>
      </w:r>
    </w:p>
    <w:p>
      <w:pPr>
        <w:adjustRightInd w:val="0"/>
        <w:snapToGrid w:val="0"/>
        <w:ind w:firstLine="424" w:firstLineChars="177"/>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rPr>
        <w:t>5、</w:t>
      </w:r>
      <w:r>
        <w:rPr>
          <w:rFonts w:hint="eastAsia" w:asciiTheme="minorEastAsia" w:hAnsiTheme="minorEastAsia" w:eastAsiaTheme="minorEastAsia" w:cstheme="minorEastAsia"/>
          <w:kern w:val="0"/>
          <w:sz w:val="24"/>
          <w:lang w:val="zh-CN"/>
        </w:rPr>
        <w:t>合同签订前乙方缴纳履约保证金人民币</w:t>
      </w:r>
      <w:r>
        <w:rPr>
          <w:rFonts w:hint="eastAsia" w:asciiTheme="minorEastAsia" w:hAnsiTheme="minorEastAsia" w:eastAsiaTheme="minorEastAsia" w:cstheme="minorEastAsia"/>
          <w:kern w:val="0"/>
          <w:sz w:val="24"/>
          <w:u w:val="single"/>
        </w:rPr>
        <w:t xml:space="preserve"> 50000.00</w:t>
      </w:r>
      <w:r>
        <w:rPr>
          <w:rFonts w:hint="eastAsia" w:asciiTheme="minorEastAsia" w:hAnsiTheme="minorEastAsia" w:eastAsiaTheme="minorEastAsia" w:cstheme="minorEastAsia"/>
          <w:kern w:val="0"/>
          <w:sz w:val="24"/>
          <w:u w:val="single"/>
          <w:lang w:val="zh-CN"/>
        </w:rPr>
        <w:t>（</w:t>
      </w:r>
      <w:r>
        <w:rPr>
          <w:rFonts w:hint="eastAsia" w:asciiTheme="minorEastAsia" w:hAnsiTheme="minorEastAsia" w:eastAsiaTheme="minorEastAsia" w:cstheme="minorEastAsia"/>
          <w:kern w:val="0"/>
          <w:sz w:val="24"/>
          <w:u w:val="single"/>
        </w:rPr>
        <w:t>伍</w:t>
      </w:r>
      <w:r>
        <w:rPr>
          <w:rFonts w:hint="eastAsia" w:asciiTheme="minorEastAsia" w:hAnsiTheme="minorEastAsia" w:eastAsiaTheme="minorEastAsia" w:cstheme="minorEastAsia"/>
          <w:kern w:val="0"/>
          <w:sz w:val="24"/>
          <w:u w:val="single"/>
          <w:lang w:val="zh-CN"/>
        </w:rPr>
        <w:t>万元）</w:t>
      </w:r>
      <w:r>
        <w:rPr>
          <w:rFonts w:hint="eastAsia" w:asciiTheme="minorEastAsia" w:hAnsiTheme="minorEastAsia" w:eastAsiaTheme="minorEastAsia" w:cstheme="minorEastAsia"/>
          <w:kern w:val="0"/>
          <w:sz w:val="24"/>
          <w:lang w:val="zh-CN"/>
        </w:rPr>
        <w:t>整，以保证合同的顺利执行，待合同履行完毕后，乙方提出申请甲方一个月内无息退还。</w:t>
      </w:r>
      <w:r>
        <w:rPr>
          <w:rFonts w:asciiTheme="minorEastAsia" w:hAnsiTheme="minorEastAsia" w:eastAsiaTheme="minorEastAsia" w:cstheme="minorEastAsia"/>
          <w:kern w:val="0"/>
          <w:sz w:val="24"/>
          <w:lang w:val="zh-CN"/>
        </w:rPr>
        <w:t xml:space="preserve"> </w:t>
      </w:r>
    </w:p>
    <w:p>
      <w:pPr>
        <w:widowControl/>
        <w:ind w:firstLine="480" w:firstLineChars="200"/>
        <w:jc w:val="left"/>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rPr>
        <w:t>6、</w:t>
      </w:r>
      <w:r>
        <w:rPr>
          <w:rFonts w:hint="eastAsia" w:asciiTheme="minorEastAsia" w:hAnsiTheme="minorEastAsia" w:eastAsiaTheme="minorEastAsia" w:cstheme="minorEastAsia"/>
          <w:kern w:val="0"/>
          <w:sz w:val="24"/>
          <w:lang w:val="zh-CN"/>
        </w:rPr>
        <w:t>甲方对乙方的预制生产按生产配料单实行限额供料，限额损耗率标准以甲方统一标准为依据（混凝土损耗</w:t>
      </w:r>
      <w:r>
        <w:rPr>
          <w:rFonts w:hint="eastAsia" w:asciiTheme="minorEastAsia" w:hAnsiTheme="minorEastAsia" w:eastAsiaTheme="minorEastAsia" w:cstheme="minorEastAsia"/>
          <w:kern w:val="0"/>
          <w:sz w:val="24"/>
        </w:rPr>
        <w:t>1</w:t>
      </w:r>
      <w:r>
        <w:rPr>
          <w:rFonts w:hint="eastAsia" w:asciiTheme="minorEastAsia" w:hAnsiTheme="minorEastAsia" w:eastAsiaTheme="minorEastAsia" w:cstheme="minorEastAsia"/>
          <w:kern w:val="0"/>
          <w:sz w:val="24"/>
          <w:lang w:val="zh-CN"/>
        </w:rPr>
        <w:t>%）。超过限定的损耗率，由乙方承担超额部分（超额部分按当月</w:t>
      </w:r>
      <w:r>
        <w:rPr>
          <w:rFonts w:hint="eastAsia" w:asciiTheme="minorEastAsia" w:hAnsiTheme="minorEastAsia" w:eastAsiaTheme="minorEastAsia" w:cstheme="minorEastAsia"/>
          <w:kern w:val="0"/>
          <w:sz w:val="24"/>
        </w:rPr>
        <w:t>信息价计算</w:t>
      </w:r>
      <w:r>
        <w:rPr>
          <w:rFonts w:hint="eastAsia" w:asciiTheme="minorEastAsia" w:hAnsiTheme="minorEastAsia" w:eastAsiaTheme="minorEastAsia" w:cstheme="minorEastAsia"/>
          <w:kern w:val="0"/>
          <w:sz w:val="24"/>
          <w:lang w:val="zh-CN"/>
        </w:rPr>
        <w:t>）一切费用及损失。如预制产</w:t>
      </w:r>
      <w:r>
        <w:rPr>
          <w:rFonts w:hint="eastAsia" w:asciiTheme="minorEastAsia" w:hAnsiTheme="minorEastAsia" w:eastAsiaTheme="minorEastAsia" w:cstheme="minorEastAsia"/>
          <w:kern w:val="0"/>
          <w:sz w:val="24"/>
        </w:rPr>
        <w:t>品</w:t>
      </w:r>
      <w:r>
        <w:rPr>
          <w:rFonts w:hint="eastAsia" w:asciiTheme="minorEastAsia" w:hAnsiTheme="minorEastAsia" w:eastAsiaTheme="minorEastAsia" w:cstheme="minorEastAsia"/>
          <w:kern w:val="0"/>
          <w:sz w:val="24"/>
          <w:lang w:val="zh-CN"/>
        </w:rPr>
        <w:t>不合格且</w:t>
      </w:r>
      <w:r>
        <w:rPr>
          <w:rFonts w:hint="eastAsia" w:asciiTheme="minorEastAsia" w:hAnsiTheme="minorEastAsia" w:eastAsiaTheme="minorEastAsia" w:cstheme="minorEastAsia"/>
          <w:kern w:val="0"/>
          <w:sz w:val="24"/>
        </w:rPr>
        <w:t>达不到使用条件</w:t>
      </w:r>
      <w:r>
        <w:rPr>
          <w:rFonts w:hint="eastAsia" w:asciiTheme="minorEastAsia" w:hAnsiTheme="minorEastAsia" w:eastAsiaTheme="minorEastAsia" w:cstheme="minorEastAsia"/>
          <w:kern w:val="0"/>
          <w:sz w:val="24"/>
          <w:lang w:val="zh-CN"/>
        </w:rPr>
        <w:t>，由乙方按照甲方销售价赔偿损失；客户让步接收而导致扣款的，乙方须承担此扣款赔偿。</w:t>
      </w:r>
    </w:p>
    <w:p>
      <w:pPr>
        <w:pStyle w:val="2"/>
        <w:ind w:firstLine="480" w:firstLineChars="200"/>
        <w:jc w:val="both"/>
      </w:pPr>
      <w:r>
        <w:rPr>
          <w:rFonts w:hint="eastAsia" w:asciiTheme="minorEastAsia" w:hAnsiTheme="minorEastAsia" w:eastAsiaTheme="minorEastAsia" w:cstheme="minorEastAsia"/>
          <w:kern w:val="0"/>
          <w:sz w:val="24"/>
        </w:rPr>
        <w:t>7、结算依据：按当月实际验收合格量入库量结算。</w:t>
      </w:r>
    </w:p>
    <w:p>
      <w:pPr>
        <w:tabs>
          <w:tab w:val="right" w:pos="8820"/>
        </w:tabs>
        <w:spacing w:line="480" w:lineRule="exact"/>
        <w:ind w:right="-334" w:rightChars="-159"/>
        <w:rPr>
          <w:rFonts w:asciiTheme="minorEastAsia" w:hAnsiTheme="minorEastAsia" w:eastAsiaTheme="minorEastAsia" w:cstheme="minorEastAsia"/>
          <w:b/>
          <w:bCs/>
          <w:sz w:val="24"/>
        </w:rPr>
      </w:pPr>
      <w:r>
        <w:rPr>
          <w:rFonts w:hint="eastAsia" w:asciiTheme="minorEastAsia" w:hAnsiTheme="minorEastAsia" w:cstheme="minorEastAsia"/>
          <w:b/>
          <w:bCs/>
          <w:sz w:val="24"/>
        </w:rPr>
        <w:t>六、</w:t>
      </w:r>
      <w:r>
        <w:rPr>
          <w:rFonts w:hint="eastAsia" w:asciiTheme="minorEastAsia" w:hAnsiTheme="minorEastAsia" w:eastAsiaTheme="minorEastAsia" w:cstheme="minorEastAsia"/>
          <w:b/>
          <w:bCs/>
          <w:sz w:val="24"/>
        </w:rPr>
        <w:t>双方义务及责任：</w:t>
      </w:r>
    </w:p>
    <w:p>
      <w:pPr>
        <w:widowControl/>
        <w:ind w:firstLine="480" w:firstLineChars="200"/>
        <w:jc w:val="left"/>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（一）、甲方责任和义务</w:t>
      </w:r>
    </w:p>
    <w:p>
      <w:pPr>
        <w:widowControl/>
        <w:ind w:firstLine="480" w:firstLineChars="200"/>
        <w:jc w:val="left"/>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rPr>
        <w:t>6</w:t>
      </w:r>
      <w:r>
        <w:rPr>
          <w:rFonts w:hint="eastAsia" w:asciiTheme="minorEastAsia" w:hAnsiTheme="minorEastAsia" w:eastAsiaTheme="minorEastAsia" w:cstheme="minorEastAsia"/>
          <w:kern w:val="0"/>
          <w:sz w:val="24"/>
          <w:lang w:val="zh-CN"/>
        </w:rPr>
        <w:t>.1甲方提供生产场地、生产所需图纸、技术指导及厂区内水电。</w:t>
      </w:r>
    </w:p>
    <w:p>
      <w:pPr>
        <w:widowControl/>
        <w:ind w:firstLine="480" w:firstLineChars="200"/>
        <w:jc w:val="left"/>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rPr>
        <w:t>6</w:t>
      </w:r>
      <w:r>
        <w:rPr>
          <w:rFonts w:hint="eastAsia" w:asciiTheme="minorEastAsia" w:hAnsiTheme="minorEastAsia" w:eastAsiaTheme="minorEastAsia" w:cstheme="minorEastAsia"/>
          <w:kern w:val="0"/>
          <w:sz w:val="24"/>
          <w:lang w:val="zh-CN"/>
        </w:rPr>
        <w:t>.2甲方提供材料钢筋、混凝土、水泥、箱涵模具、吊具（吊链）、吊带、吊钉、遇水膨胀止水条、聚氨酯密封胶、灌浆料、脱模剂、泼胶球、丁基防水胶布、鸭嘴扣、水泥、自喷漆、钢丝绳、一级箱、二级箱。</w:t>
      </w:r>
    </w:p>
    <w:p>
      <w:pPr>
        <w:widowControl/>
        <w:ind w:firstLine="480" w:firstLineChars="200"/>
        <w:jc w:val="left"/>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rPr>
        <w:t>6</w:t>
      </w:r>
      <w:r>
        <w:rPr>
          <w:rFonts w:hint="eastAsia" w:asciiTheme="minorEastAsia" w:hAnsiTheme="minorEastAsia" w:eastAsiaTheme="minorEastAsia" w:cstheme="minorEastAsia"/>
          <w:kern w:val="0"/>
          <w:sz w:val="24"/>
          <w:lang w:val="zh-CN"/>
        </w:rPr>
        <w:t>.3甲方负责编排生产</w:t>
      </w:r>
      <w:r>
        <w:rPr>
          <w:rFonts w:hint="eastAsia" w:asciiTheme="minorEastAsia" w:hAnsiTheme="minorEastAsia" w:eastAsiaTheme="minorEastAsia" w:cstheme="minorEastAsia"/>
          <w:kern w:val="0"/>
          <w:sz w:val="24"/>
        </w:rPr>
        <w:t>总计划及生产总规划</w:t>
      </w:r>
      <w:r>
        <w:rPr>
          <w:rFonts w:hint="eastAsia" w:asciiTheme="minorEastAsia" w:hAnsiTheme="minorEastAsia" w:eastAsiaTheme="minorEastAsia" w:cstheme="minorEastAsia"/>
          <w:kern w:val="0"/>
          <w:sz w:val="24"/>
          <w:lang w:val="zh-CN"/>
        </w:rPr>
        <w:t>和设计变更并及时下达给乙方，对乙方进行生产技术交底、质量检查和安全监督。</w:t>
      </w:r>
    </w:p>
    <w:p>
      <w:pPr>
        <w:ind w:firstLine="360" w:firstLineChars="15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rPr>
        <w:t>6</w:t>
      </w:r>
      <w:r>
        <w:rPr>
          <w:rFonts w:hint="eastAsia" w:asciiTheme="minorEastAsia" w:hAnsiTheme="minorEastAsia" w:eastAsiaTheme="minorEastAsia" w:cstheme="minorEastAsia"/>
          <w:kern w:val="0"/>
          <w:sz w:val="24"/>
          <w:lang w:val="zh-CN"/>
        </w:rPr>
        <w:t>.4甲方有权随时抽查乙方的施工安全、质量和进度，检查监督乙方工作人员的资质及文明作业，对不符合甲方要求的，要求乙方立即整改，乙方拒不整改的，甲方有权停止乙方的作业，并追偿由此造成的停工损失；</w:t>
      </w:r>
    </w:p>
    <w:p>
      <w:pPr>
        <w:ind w:firstLine="424" w:firstLineChars="177"/>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rPr>
        <w:t>6</w:t>
      </w:r>
      <w:r>
        <w:rPr>
          <w:rFonts w:hint="eastAsia" w:asciiTheme="minorEastAsia" w:hAnsiTheme="minorEastAsia" w:eastAsiaTheme="minorEastAsia" w:cstheme="minorEastAsia"/>
          <w:kern w:val="0"/>
          <w:sz w:val="24"/>
          <w:lang w:val="zh-CN"/>
        </w:rPr>
        <w:t xml:space="preserve">.5乙方员工有下列行为的，甲方有权要求乙方立即更换、补充或退回，并以书面形式通知乙方，乙方必须保证出勤人数，不影响甲方的正常生产工作的进展： </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（1）乙方员工违反操作规程，造成所负责的工作不能正常运行，或不能保证工作质量，给甲方造成损失的；</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（2）乙方员工严重违反甲方规章制度、岗位职责和劳动纪律的；</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（3） 乙方员工不能提供真实有效的身份证明的，或提供虚假的身份证明的；</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（4）乙方员工在工作中谩骂他人或打架斗殴或以肢体、拳脚相击的；</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（5）乙方员工被依法追究刑事责任的；</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（6）乙方因患病或非因工负伤，在规定的医疗期满后不能从事原工作的；</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（7）甲方认定不能胜任工作的；</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（8）其他法律规定、法规规定的情况。</w:t>
      </w:r>
    </w:p>
    <w:p>
      <w:pPr>
        <w:ind w:firstLine="480" w:firstLineChars="200"/>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（二）</w:t>
      </w:r>
      <w:r>
        <w:rPr>
          <w:rFonts w:hint="eastAsia" w:asciiTheme="minorEastAsia" w:hAnsiTheme="minorEastAsia" w:eastAsiaTheme="minorEastAsia" w:cstheme="minorEastAsia"/>
          <w:kern w:val="0"/>
          <w:sz w:val="24"/>
          <w:lang w:val="zh-CN"/>
        </w:rPr>
        <w:t>、</w:t>
      </w:r>
      <w:r>
        <w:rPr>
          <w:rFonts w:hint="eastAsia" w:asciiTheme="minorEastAsia" w:hAnsiTheme="minorEastAsia" w:eastAsiaTheme="minorEastAsia" w:cstheme="minorEastAsia"/>
          <w:kern w:val="0"/>
          <w:sz w:val="24"/>
        </w:rPr>
        <w:t>乙方责任和义务</w:t>
      </w:r>
    </w:p>
    <w:p>
      <w:pPr>
        <w:widowControl/>
        <w:ind w:firstLine="480" w:firstLineChars="200"/>
        <w:jc w:val="left"/>
        <w:rPr>
          <w:rFonts w:asciiTheme="minorEastAsia" w:hAnsiTheme="minorEastAsia" w:eastAsiaTheme="minorEastAsia" w:cstheme="minorEastAsia"/>
          <w:b/>
          <w:bCs/>
          <w:kern w:val="0"/>
          <w:sz w:val="24"/>
        </w:rPr>
      </w:pPr>
      <w:r>
        <w:rPr>
          <w:rFonts w:hint="eastAsia" w:asciiTheme="minorEastAsia" w:hAnsiTheme="minorEastAsia" w:eastAsiaTheme="minorEastAsia" w:cstheme="minorEastAsia"/>
          <w:kern w:val="0"/>
          <w:sz w:val="24"/>
        </w:rPr>
        <w:t>6.6乙方承担甲方提供的设备、材料和工具以外的辅材及工具。</w:t>
      </w:r>
      <w:r>
        <w:rPr>
          <w:rFonts w:hint="eastAsia" w:asciiTheme="minorEastAsia" w:hAnsiTheme="minorEastAsia" w:eastAsiaTheme="minorEastAsia" w:cstheme="minorEastAsia"/>
          <w:kern w:val="0"/>
          <w:sz w:val="24"/>
          <w:lang w:val="zh-CN"/>
        </w:rPr>
        <w:t>乙方提供生产过程中所有涉及的小型机具和辅材（包含但不限于附着式振动器、扎丝、垫块、焊条）、劳务用餐、劳保用品（安全帽、工作服等劳保用品由乙方自行采购，并要求统一）等。</w:t>
      </w:r>
    </w:p>
    <w:p>
      <w:pPr>
        <w:ind w:firstLine="480" w:firstLineChars="200"/>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6.7乙方提供劳务人员在市级以上医院进行的体检报告原件给甲方综合管理部门备案。乙方须与其员工签订劳动合同、安全责任书（其复印件须交甲方存档），以及为员工缴纳工伤、社保、人身意外险等。乙方不按国家规定操作而导致劳资纠纷的，与甲方无关。由乙方不正当操作造成的设备损坏，损失由乙方承担。</w:t>
      </w:r>
    </w:p>
    <w:p>
      <w:pPr>
        <w:ind w:firstLine="480" w:firstLineChars="200"/>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6.8服从甲方的全面管理和考核，服从甲方工作人员监督检查，接收整改意见并及时处置到位。严格遵守甲方规章制度，如有违反，与甲方员工同等处罚，罚款从当月结算款中扣除。情节严重的，甲方可依据本合同终止后续合作。</w:t>
      </w:r>
    </w:p>
    <w:p>
      <w:pPr>
        <w:ind w:firstLine="480" w:firstLineChars="200"/>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6.9甲方指定</w:t>
      </w:r>
      <w:r>
        <w:rPr>
          <w:rFonts w:hint="eastAsia" w:asciiTheme="minorEastAsia" w:hAnsiTheme="minorEastAsia" w:eastAsiaTheme="minorEastAsia" w:cstheme="minorEastAsia"/>
          <w:kern w:val="0"/>
          <w:sz w:val="24"/>
          <w:u w:val="single"/>
        </w:rPr>
        <w:t xml:space="preserve">      </w:t>
      </w:r>
      <w:r>
        <w:rPr>
          <w:rFonts w:hint="eastAsia" w:asciiTheme="minorEastAsia" w:hAnsiTheme="minorEastAsia" w:eastAsiaTheme="minorEastAsia" w:cstheme="minorEastAsia"/>
          <w:kern w:val="0"/>
          <w:sz w:val="24"/>
        </w:rPr>
        <w:t>为驻厂厂长，乙方指定</w:t>
      </w:r>
      <w:r>
        <w:rPr>
          <w:rFonts w:hint="eastAsia" w:asciiTheme="minorEastAsia" w:hAnsiTheme="minorEastAsia" w:eastAsiaTheme="minorEastAsia" w:cstheme="minorEastAsia"/>
          <w:kern w:val="0"/>
          <w:sz w:val="24"/>
          <w:u w:val="single"/>
        </w:rPr>
        <w:t xml:space="preserve">      </w:t>
      </w:r>
      <w:r>
        <w:rPr>
          <w:rFonts w:hint="eastAsia" w:asciiTheme="minorEastAsia" w:hAnsiTheme="minorEastAsia" w:eastAsiaTheme="minorEastAsia" w:cstheme="minorEastAsia"/>
          <w:kern w:val="0"/>
          <w:sz w:val="24"/>
        </w:rPr>
        <w:t>为驻厂经理，代表乙方开展现场管理，乙方为甲方每条生产线配备1名具有相应资历质检人员，配备技术员及安全员1名，共计2名。履约过程中，乙方与员工的任何劳资纠纷与甲方无关。如有人员变更，乙方必须以书面方式提报甲方并经甲方同意。</w:t>
      </w:r>
    </w:p>
    <w:p>
      <w:pPr>
        <w:ind w:firstLine="480" w:firstLineChars="200"/>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6.10乙方保护生产线各类设备设施完好和位置正确，不得任意处置或移动。妥善保管和正确使用甲方提供的各类生产机具，按要求对甲方设备、工具工装维护保养（日常普通保养），人为损坏或遗失照价赔偿（工具清单以甲乙双方生产厂长确认的交接清单为准）。</w:t>
      </w:r>
    </w:p>
    <w:p>
      <w:pPr>
        <w:ind w:firstLine="480" w:firstLineChars="200"/>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6.11乙方可以使用甲方为其提供的生活设施，但发生的用水、用电等费用要自行承担。</w:t>
      </w:r>
    </w:p>
    <w:p>
      <w:pPr>
        <w:ind w:firstLine="480" w:firstLineChars="200"/>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6.12甲方在厂区推行安全、环保及6S管理工作，乙方要全力配合，如因工作拖拉导致安全隐患、6S现场管理问题迟迟得不到整改落实的，甲方有权对乙方进行处罚。</w:t>
      </w:r>
    </w:p>
    <w:p>
      <w:pPr>
        <w:ind w:firstLine="480" w:firstLineChars="200"/>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6.13乙方须教育工作人员保守甲方的各项商业秘密，如因乙方工作人员泄露甲方商业秘密并给甲方造成损失的，乙方须承担相应的赔偿责任。</w:t>
      </w:r>
    </w:p>
    <w:p>
      <w:pPr>
        <w:rPr>
          <w:rFonts w:asciiTheme="minorEastAsia" w:hAnsiTheme="minorEastAsia" w:eastAsiaTheme="minorEastAsia" w:cstheme="minorEastAsia"/>
          <w:kern w:val="0"/>
          <w:sz w:val="24"/>
        </w:rPr>
      </w:pPr>
      <w:r>
        <w:rPr>
          <w:rFonts w:hint="eastAsia" w:asciiTheme="minorEastAsia" w:hAnsiTheme="minorEastAsia" w:eastAsiaTheme="minorEastAsia" w:cstheme="minorEastAsia"/>
          <w:b/>
          <w:bCs/>
          <w:kern w:val="0"/>
          <w:sz w:val="24"/>
          <w:lang w:val="zh-CN"/>
        </w:rPr>
        <w:t>七、工期要求及进度要求</w:t>
      </w:r>
    </w:p>
    <w:p>
      <w:pPr>
        <w:widowControl/>
        <w:ind w:firstLine="480" w:firstLineChars="200"/>
        <w:jc w:val="left"/>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rPr>
        <w:t>7.1</w:t>
      </w:r>
      <w:r>
        <w:rPr>
          <w:rFonts w:hint="eastAsia" w:asciiTheme="minorEastAsia" w:hAnsiTheme="minorEastAsia" w:eastAsiaTheme="minorEastAsia" w:cstheme="minorEastAsia"/>
          <w:kern w:val="0"/>
          <w:sz w:val="24"/>
          <w:lang w:val="zh-CN"/>
        </w:rPr>
        <w:t>乙方应根据甲方所提供的条件合理、科学地组织生产，保证达到业内合理产能。甲方根据乙方承诺的产能下达生产任务，乙方应在甲方要求的期限内完成且质量合格，如因乙方原因逾期完成的，将视逾期情况处以</w:t>
      </w:r>
      <w:r>
        <w:rPr>
          <w:rFonts w:hint="eastAsia" w:asciiTheme="minorEastAsia" w:hAnsiTheme="minorEastAsia" w:eastAsiaTheme="minorEastAsia" w:cstheme="minorEastAsia"/>
          <w:kern w:val="0"/>
          <w:sz w:val="24"/>
        </w:rPr>
        <w:t>3</w:t>
      </w:r>
      <w:r>
        <w:rPr>
          <w:rFonts w:hint="eastAsia" w:asciiTheme="minorEastAsia" w:hAnsiTheme="minorEastAsia" w:eastAsiaTheme="minorEastAsia" w:cstheme="minorEastAsia"/>
          <w:kern w:val="0"/>
          <w:sz w:val="24"/>
          <w:lang w:val="zh-CN"/>
        </w:rPr>
        <w:t>00-2000元/天的罚金；如此逾期给甲方造成其他损失的（包括因此导致的甲方向第三方所需承担的违约责任等），乙方须承担其赔偿责任。</w:t>
      </w:r>
    </w:p>
    <w:p>
      <w:pPr>
        <w:widowControl/>
        <w:ind w:firstLine="480" w:firstLineChars="200"/>
        <w:jc w:val="left"/>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sz w:val="24"/>
        </w:rPr>
        <w:t>7.2无论甲方提供的图纸（施工工艺）有多大难易程度，乙方人员需无条件服从甲方安排进行有序生产。</w:t>
      </w:r>
    </w:p>
    <w:p>
      <w:pPr>
        <w:rPr>
          <w:rFonts w:asciiTheme="minorEastAsia" w:hAnsiTheme="minorEastAsia" w:eastAsiaTheme="minorEastAsia" w:cstheme="minorEastAsia"/>
          <w:b/>
          <w:bCs/>
          <w:kern w:val="0"/>
          <w:sz w:val="24"/>
          <w:lang w:val="zh-CN"/>
        </w:rPr>
      </w:pPr>
      <w:r>
        <w:rPr>
          <w:rFonts w:hint="eastAsia" w:asciiTheme="minorEastAsia" w:hAnsiTheme="minorEastAsia" w:eastAsiaTheme="minorEastAsia" w:cstheme="minorEastAsia"/>
          <w:b/>
          <w:bCs/>
          <w:kern w:val="0"/>
          <w:sz w:val="24"/>
          <w:lang w:val="zh-CN"/>
        </w:rPr>
        <w:t>八、质量标准及验收要求：</w:t>
      </w:r>
    </w:p>
    <w:p>
      <w:pPr>
        <w:ind w:firstLine="480" w:firstLineChars="200"/>
        <w:rPr>
          <w:rFonts w:asciiTheme="minorEastAsia" w:hAnsiTheme="minorEastAsia" w:eastAsiaTheme="minorEastAsia" w:cstheme="minorEastAsia"/>
          <w:sz w:val="24"/>
          <w:lang w:val="zh-CN"/>
        </w:rPr>
      </w:pPr>
      <w:r>
        <w:rPr>
          <w:rFonts w:hint="eastAsia" w:asciiTheme="minorEastAsia" w:hAnsiTheme="minorEastAsia" w:eastAsiaTheme="minorEastAsia" w:cstheme="minorEastAsia"/>
          <w:sz w:val="24"/>
        </w:rPr>
        <w:t>8</w:t>
      </w:r>
      <w:r>
        <w:rPr>
          <w:rFonts w:hint="eastAsia" w:asciiTheme="minorEastAsia" w:hAnsiTheme="minorEastAsia" w:eastAsiaTheme="minorEastAsia" w:cstheme="minorEastAsia"/>
          <w:sz w:val="24"/>
          <w:lang w:val="zh-CN"/>
        </w:rPr>
        <w:t>.1乙方生产的构件质量必须符合现行国家装配式建筑相关标准、企业标准、生产工艺要求以及构件需求方对构件质量的要求，预制构件制作可划分为模具安装、混凝土浇筑、脱模、预制构件</w:t>
      </w:r>
      <w:r>
        <w:rPr>
          <w:rFonts w:hint="eastAsia" w:asciiTheme="minorEastAsia" w:hAnsiTheme="minorEastAsia" w:eastAsiaTheme="minorEastAsia" w:cstheme="minorEastAsia"/>
          <w:sz w:val="24"/>
        </w:rPr>
        <w:t>水</w:t>
      </w:r>
      <w:r>
        <w:rPr>
          <w:rFonts w:hint="eastAsia" w:asciiTheme="minorEastAsia" w:hAnsiTheme="minorEastAsia" w:eastAsiaTheme="minorEastAsia" w:cstheme="minorEastAsia"/>
          <w:sz w:val="24"/>
          <w:lang w:val="zh-CN"/>
        </w:rPr>
        <w:t>洗、修补和养护及预制构件成品存放和成品检测等，乙方的构件生产必须在上一道工序进行现场实测实量，初步验收合格后方可流入下道工序。甲方质量验收标准为本合同有效附件。</w:t>
      </w:r>
    </w:p>
    <w:p>
      <w:pPr>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8</w:t>
      </w:r>
      <w:r>
        <w:rPr>
          <w:rFonts w:hint="eastAsia" w:asciiTheme="minorEastAsia" w:hAnsiTheme="minorEastAsia" w:eastAsiaTheme="minorEastAsia" w:cstheme="minorEastAsia"/>
          <w:sz w:val="24"/>
          <w:lang w:val="zh-CN"/>
        </w:rPr>
        <w:t>.2甲方根据现行</w:t>
      </w:r>
      <w:r>
        <w:rPr>
          <w:rFonts w:hint="eastAsia" w:asciiTheme="minorEastAsia" w:hAnsiTheme="minorEastAsia" w:eastAsiaTheme="minorEastAsia" w:cstheme="minorEastAsia"/>
          <w:sz w:val="24"/>
        </w:rPr>
        <w:t>《混凝土结构工程施工质量验收规范》GB50204-2016、《装配整体式住宅混凝土构件制作、施工及质量验收规程》DG/TJ08-2069-2010    J11578-2010、《装配式混凝土结构技术规程》 JGJ1、</w:t>
      </w:r>
      <w:r>
        <w:rPr>
          <w:rFonts w:hint="eastAsia" w:asciiTheme="minorEastAsia" w:hAnsiTheme="minorEastAsia" w:eastAsiaTheme="minorEastAsia" w:cstheme="minorEastAsia"/>
          <w:sz w:val="24"/>
          <w:lang w:val="zh-CN"/>
        </w:rPr>
        <w:t>《建设工程质量管理条例》、甲方质量管理制度和行业预制构件质量标准，对乙方生产预制构件进行检测验收，乙方生产过程中须严格做好质量自检、互检，合格后方可申请甲方复检验收，甲方验收合格后方可流入下道工序。</w:t>
      </w:r>
      <w:r>
        <w:rPr>
          <w:rFonts w:hint="eastAsia" w:asciiTheme="minorEastAsia" w:hAnsiTheme="minorEastAsia" w:eastAsiaTheme="minorEastAsia" w:cstheme="minorEastAsia"/>
          <w:sz w:val="24"/>
        </w:rPr>
        <w:t>关于劳务方的人员自检、互检标准，劳务人员必须指定专业之间人员在线上进行产品制程和成品检测，合格后方可申请甲方复检验收，对于甲方检查不合格项应无理由返工，对不整改或者拖延整改，每次单项处以100-200元罚款。每次甲方验收时乙方应确认已检验合格，甲方每次检查乙方合格率应达到98%以上，不合格每次每项处以50-200元罚款。</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rPr>
        <w:t>8</w:t>
      </w:r>
      <w:r>
        <w:rPr>
          <w:rFonts w:hint="eastAsia" w:asciiTheme="minorEastAsia" w:hAnsiTheme="minorEastAsia" w:eastAsiaTheme="minorEastAsia" w:cstheme="minorEastAsia"/>
          <w:kern w:val="0"/>
          <w:sz w:val="24"/>
          <w:lang w:val="zh-CN"/>
        </w:rPr>
        <w:t>.3乙方必须遵照甲方技术、质量交底，</w:t>
      </w:r>
      <w:r>
        <w:rPr>
          <w:rFonts w:hint="eastAsia" w:asciiTheme="minorEastAsia" w:hAnsiTheme="minorEastAsia" w:eastAsiaTheme="minorEastAsia" w:cstheme="minorEastAsia"/>
          <w:kern w:val="0"/>
          <w:sz w:val="24"/>
        </w:rPr>
        <w:t>按照相关质量协议（附件3）要求，</w:t>
      </w:r>
      <w:r>
        <w:rPr>
          <w:rFonts w:hint="eastAsia" w:asciiTheme="minorEastAsia" w:hAnsiTheme="minorEastAsia" w:eastAsiaTheme="minorEastAsia" w:cstheme="minorEastAsia"/>
          <w:kern w:val="0"/>
          <w:sz w:val="24"/>
          <w:lang w:val="zh-CN"/>
        </w:rPr>
        <w:t>精心组织生产。出现问题必须服从甲方整改意见限期整改；如逾期整改，甲方有权对乙方照章罚款。因乙方生产质量低劣，且屡催无效而无法履行合同，甲方有权终止合同，并由乙方承担由此而造成的损失。</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rPr>
        <w:t>8</w:t>
      </w:r>
      <w:r>
        <w:rPr>
          <w:rFonts w:hint="eastAsia" w:asciiTheme="minorEastAsia" w:hAnsiTheme="minorEastAsia" w:eastAsiaTheme="minorEastAsia" w:cstheme="minorEastAsia"/>
          <w:kern w:val="0"/>
          <w:sz w:val="24"/>
          <w:lang w:val="zh-CN"/>
        </w:rPr>
        <w:t>.4乙方对现场所有已完工产成品负有保护的义务，如有损坏，乙方须自费修复至原状</w:t>
      </w:r>
    </w:p>
    <w:p>
      <w:pPr>
        <w:ind w:firstLine="480" w:firstLineChars="200"/>
        <w:rPr>
          <w:rFonts w:asciiTheme="minorEastAsia" w:hAnsiTheme="minorEastAsia" w:eastAsiaTheme="minorEastAsia" w:cstheme="minorEastAsia"/>
          <w:kern w:val="0"/>
          <w:sz w:val="24"/>
        </w:rPr>
      </w:pPr>
      <w:r>
        <w:rPr>
          <w:rFonts w:hint="eastAsia" w:asciiTheme="minorEastAsia" w:hAnsiTheme="minorEastAsia" w:eastAsiaTheme="minorEastAsia" w:cstheme="minorEastAsia"/>
          <w:sz w:val="24"/>
        </w:rPr>
        <w:t>堆场吊装、转运构件过程中出现任何质量问题，由乙方承担责任并赔偿造成的一切损失。</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rPr>
        <w:t>8</w:t>
      </w:r>
      <w:r>
        <w:rPr>
          <w:rFonts w:hint="eastAsia" w:asciiTheme="minorEastAsia" w:hAnsiTheme="minorEastAsia" w:eastAsiaTheme="minorEastAsia" w:cstheme="minorEastAsia"/>
          <w:kern w:val="0"/>
          <w:sz w:val="24"/>
          <w:lang w:val="zh-CN"/>
        </w:rPr>
        <w:t>.5乙方须安排劳务人员进行劳动健康体检并向甲方提供体检报告或健康证明。</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rPr>
        <w:t>8</w:t>
      </w:r>
      <w:r>
        <w:rPr>
          <w:rFonts w:hint="eastAsia" w:asciiTheme="minorEastAsia" w:hAnsiTheme="minorEastAsia" w:eastAsiaTheme="minorEastAsia" w:cstheme="minorEastAsia"/>
          <w:kern w:val="0"/>
          <w:sz w:val="24"/>
          <w:lang w:val="zh-CN"/>
        </w:rPr>
        <w:t>.</w:t>
      </w:r>
      <w:r>
        <w:rPr>
          <w:rFonts w:hint="eastAsia" w:asciiTheme="minorEastAsia" w:hAnsiTheme="minorEastAsia" w:eastAsiaTheme="minorEastAsia" w:cstheme="minorEastAsia"/>
          <w:kern w:val="0"/>
          <w:sz w:val="24"/>
        </w:rPr>
        <w:t>6</w:t>
      </w:r>
      <w:r>
        <w:rPr>
          <w:rFonts w:hint="eastAsia" w:asciiTheme="minorEastAsia" w:hAnsiTheme="minorEastAsia" w:eastAsiaTheme="minorEastAsia" w:cstheme="minorEastAsia"/>
          <w:kern w:val="0"/>
          <w:sz w:val="24"/>
          <w:lang w:val="zh-CN"/>
        </w:rPr>
        <w:t>乙方完工交付项目工地的构件，因乙方原因导致的品质问题，</w:t>
      </w:r>
      <w:r>
        <w:rPr>
          <w:rFonts w:hint="eastAsia" w:asciiTheme="minorEastAsia" w:hAnsiTheme="minorEastAsia" w:eastAsiaTheme="minorEastAsia" w:cstheme="minorEastAsia"/>
          <w:kern w:val="0"/>
          <w:sz w:val="24"/>
        </w:rPr>
        <w:t>乙方负责产品的修补工作，由此发生的相关材料费用由乙方承担。如果因</w:t>
      </w:r>
      <w:r>
        <w:rPr>
          <w:rFonts w:hint="eastAsia" w:asciiTheme="minorEastAsia" w:hAnsiTheme="minorEastAsia" w:eastAsiaTheme="minorEastAsia" w:cstheme="minorEastAsia"/>
          <w:kern w:val="0"/>
          <w:sz w:val="24"/>
          <w:lang w:val="zh-CN"/>
        </w:rPr>
        <w:t>品质问题被退货的，甲方有权要求乙方赔偿因此发生的直接及相应的其他损失。</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rPr>
        <w:t>8</w:t>
      </w:r>
      <w:r>
        <w:rPr>
          <w:rFonts w:hint="eastAsia" w:asciiTheme="minorEastAsia" w:hAnsiTheme="minorEastAsia" w:eastAsiaTheme="minorEastAsia" w:cstheme="minorEastAsia"/>
          <w:kern w:val="0"/>
          <w:sz w:val="24"/>
          <w:lang w:val="zh-CN"/>
        </w:rPr>
        <w:t>.7乙方质量管理人员必须服从甲方质量管理人员的统一管理，服从甲方相关管理人员对施工质量验收和监督。甲方公司质量管理部及生产厂质检员、技术人员及工长等有权对违反施工工艺和影响构件质量的事件和施工人员进行纠正，有权责令其停工或罚款，甲方有权处以乙方每次100元至1万元不等罚金。</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rPr>
        <w:t>8</w:t>
      </w:r>
      <w:r>
        <w:rPr>
          <w:rFonts w:hint="eastAsia" w:asciiTheme="minorEastAsia" w:hAnsiTheme="minorEastAsia" w:eastAsiaTheme="minorEastAsia" w:cstheme="minorEastAsia"/>
          <w:kern w:val="0"/>
          <w:sz w:val="24"/>
          <w:lang w:val="zh-CN"/>
        </w:rPr>
        <w:t>.8乙方应按国家规定及实际情况配备</w:t>
      </w:r>
      <w:r>
        <w:rPr>
          <w:rFonts w:hint="eastAsia" w:asciiTheme="minorEastAsia" w:hAnsiTheme="minorEastAsia" w:eastAsiaTheme="minorEastAsia" w:cstheme="minorEastAsia"/>
          <w:kern w:val="0"/>
          <w:sz w:val="24"/>
        </w:rPr>
        <w:t>具有相应资历的</w:t>
      </w:r>
      <w:r>
        <w:rPr>
          <w:rFonts w:hint="eastAsia" w:asciiTheme="minorEastAsia" w:hAnsiTheme="minorEastAsia" w:eastAsiaTheme="minorEastAsia" w:cstheme="minorEastAsia"/>
          <w:kern w:val="0"/>
          <w:sz w:val="24"/>
          <w:lang w:val="zh-CN"/>
        </w:rPr>
        <w:t>质量检查员，以保证能够执行本合同质量管理工作的各项要求。设置</w:t>
      </w:r>
      <w:r>
        <w:rPr>
          <w:rFonts w:hint="eastAsia" w:asciiTheme="minorEastAsia" w:hAnsiTheme="minorEastAsia" w:eastAsiaTheme="minorEastAsia" w:cstheme="minorEastAsia"/>
          <w:kern w:val="0"/>
          <w:sz w:val="24"/>
        </w:rPr>
        <w:t>专职</w:t>
      </w:r>
      <w:r>
        <w:rPr>
          <w:rFonts w:hint="eastAsia" w:asciiTheme="minorEastAsia" w:hAnsiTheme="minorEastAsia" w:eastAsiaTheme="minorEastAsia" w:cstheme="minorEastAsia"/>
          <w:kern w:val="0"/>
          <w:sz w:val="24"/>
          <w:lang w:val="zh-CN"/>
        </w:rPr>
        <w:t>质量检查员并不免除乙方所承担的职责、义务和责任。未设质检员的视为违约，违约金按</w:t>
      </w:r>
      <w:r>
        <w:rPr>
          <w:rFonts w:hint="eastAsia" w:asciiTheme="minorEastAsia" w:hAnsiTheme="minorEastAsia" w:eastAsiaTheme="minorEastAsia" w:cstheme="minorEastAsia"/>
          <w:kern w:val="0"/>
          <w:sz w:val="24"/>
        </w:rPr>
        <w:t>当月结算额</w:t>
      </w:r>
      <w:r>
        <w:rPr>
          <w:rFonts w:hint="eastAsia" w:asciiTheme="minorEastAsia" w:hAnsiTheme="minorEastAsia" w:eastAsiaTheme="minorEastAsia" w:cstheme="minorEastAsia"/>
          <w:kern w:val="0"/>
          <w:sz w:val="24"/>
          <w:lang w:val="zh-CN"/>
        </w:rPr>
        <w:t>的0.5%计算。</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rPr>
        <w:t>8</w:t>
      </w:r>
      <w:r>
        <w:rPr>
          <w:rFonts w:hint="eastAsia" w:asciiTheme="minorEastAsia" w:hAnsiTheme="minorEastAsia" w:eastAsiaTheme="minorEastAsia" w:cstheme="minorEastAsia"/>
          <w:kern w:val="0"/>
          <w:sz w:val="24"/>
          <w:lang w:val="zh-CN"/>
        </w:rPr>
        <w:t>.9乙方质量管理人员必须配备与合同中相符的</w:t>
      </w:r>
      <w:r>
        <w:rPr>
          <w:rFonts w:hint="eastAsia" w:asciiTheme="minorEastAsia" w:hAnsiTheme="minorEastAsia" w:eastAsiaTheme="minorEastAsia" w:cstheme="minorEastAsia"/>
          <w:kern w:val="0"/>
          <w:sz w:val="24"/>
        </w:rPr>
        <w:t>具有相应资历</w:t>
      </w:r>
      <w:r>
        <w:rPr>
          <w:rFonts w:hint="eastAsia" w:asciiTheme="minorEastAsia" w:hAnsiTheme="minorEastAsia" w:eastAsiaTheme="minorEastAsia" w:cstheme="minorEastAsia"/>
          <w:kern w:val="0"/>
          <w:sz w:val="24"/>
          <w:lang w:val="zh-CN"/>
        </w:rPr>
        <w:t>的质检人员，并不得擅自更换，应满足质量检查要求，配备相关的检测工具、质量验收标准、规范和有关的图集、图册等，在开工前将技术规程等配备状况以书面形式报甲方质检部门。</w:t>
      </w:r>
    </w:p>
    <w:p>
      <w:pPr>
        <w:widowControl/>
        <w:ind w:firstLine="480" w:firstLineChars="200"/>
        <w:jc w:val="left"/>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8.10因为乙方生产过程中的质量或者生产进度等导致项目发货不及时的，质量问题每次处以500-2000元罚款，生产进度每次处以10000-20000元罚款，情节严重的根据实际情况进行工期索赔。对所涉及的构件按照市场价赔偿，甲方有权终止合同，并由乙方承担由此造成的损失。</w:t>
      </w:r>
    </w:p>
    <w:p>
      <w:pPr>
        <w:widowControl/>
        <w:ind w:firstLine="480" w:firstLineChars="200"/>
        <w:jc w:val="left"/>
        <w:rPr>
          <w:rFonts w:asciiTheme="minorEastAsia" w:hAnsiTheme="minorEastAsia" w:eastAsiaTheme="minorEastAsia" w:cstheme="minorEastAsia"/>
          <w:b/>
          <w:bCs/>
          <w:kern w:val="0"/>
          <w:sz w:val="24"/>
        </w:rPr>
      </w:pPr>
      <w:r>
        <w:rPr>
          <w:rFonts w:hint="eastAsia" w:asciiTheme="minorEastAsia" w:hAnsiTheme="minorEastAsia" w:eastAsiaTheme="minorEastAsia" w:cstheme="minorEastAsia"/>
          <w:sz w:val="24"/>
        </w:rPr>
        <w:t>8.11明确各设备使用周期，使用人员，维修频率，在使用周期内损坏的甲方有权要求乙方立即更换、补充。</w:t>
      </w:r>
    </w:p>
    <w:p>
      <w:pPr>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b/>
          <w:bCs/>
          <w:kern w:val="0"/>
          <w:sz w:val="24"/>
          <w:lang w:val="zh-CN"/>
        </w:rPr>
        <w:t>九、安全生产及文明施工</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rPr>
        <w:t>9</w:t>
      </w:r>
      <w:r>
        <w:rPr>
          <w:rFonts w:hint="eastAsia" w:asciiTheme="minorEastAsia" w:hAnsiTheme="minorEastAsia" w:eastAsiaTheme="minorEastAsia" w:cstheme="minorEastAsia"/>
          <w:kern w:val="0"/>
          <w:sz w:val="24"/>
          <w:lang w:val="zh-CN"/>
        </w:rPr>
        <w:t>.1、生产前乙方必须与甲方签订安全生产协议（协议签订前带齐所需资料在安环部签订），并严格按照相关约定执行。</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rPr>
        <w:t>9</w:t>
      </w:r>
      <w:r>
        <w:rPr>
          <w:rFonts w:hint="eastAsia" w:asciiTheme="minorEastAsia" w:hAnsiTheme="minorEastAsia" w:eastAsiaTheme="minorEastAsia" w:cstheme="minorEastAsia"/>
          <w:kern w:val="0"/>
          <w:sz w:val="24"/>
          <w:lang w:val="zh-CN"/>
        </w:rPr>
        <w:t>.2、乙方在生产过程中必须采取有效措施保证安全生产，保证文明施工。</w:t>
      </w:r>
    </w:p>
    <w:p>
      <w:pPr>
        <w:ind w:firstLine="480" w:firstLineChars="200"/>
        <w:rPr>
          <w:rFonts w:asciiTheme="minorEastAsia" w:hAnsiTheme="minorEastAsia" w:eastAsiaTheme="minorEastAsia" w:cstheme="minorEastAsia"/>
          <w:kern w:val="0"/>
          <w:sz w:val="24"/>
          <w:highlight w:val="yellow"/>
          <w:lang w:val="zh-CN"/>
        </w:rPr>
      </w:pPr>
      <w:r>
        <w:rPr>
          <w:rFonts w:hint="eastAsia" w:asciiTheme="minorEastAsia" w:hAnsiTheme="minorEastAsia" w:eastAsiaTheme="minorEastAsia" w:cstheme="minorEastAsia"/>
          <w:kern w:val="0"/>
          <w:sz w:val="24"/>
        </w:rPr>
        <w:t>9.3</w:t>
      </w:r>
      <w:r>
        <w:rPr>
          <w:rFonts w:hint="eastAsia" w:asciiTheme="minorEastAsia" w:hAnsiTheme="minorEastAsia" w:eastAsiaTheme="minorEastAsia" w:cstheme="minorEastAsia"/>
          <w:kern w:val="0"/>
          <w:sz w:val="24"/>
          <w:lang w:val="zh-CN"/>
        </w:rPr>
        <w:t>乙方应按国家规定及实际情况配备具有证件的专职</w:t>
      </w:r>
      <w:r>
        <w:rPr>
          <w:rFonts w:hint="eastAsia" w:asciiTheme="minorEastAsia" w:hAnsiTheme="minorEastAsia" w:eastAsiaTheme="minorEastAsia" w:cstheme="minorEastAsia"/>
          <w:kern w:val="0"/>
          <w:sz w:val="24"/>
        </w:rPr>
        <w:t>安全网</w:t>
      </w:r>
      <w:r>
        <w:rPr>
          <w:rFonts w:hint="eastAsia" w:asciiTheme="minorEastAsia" w:hAnsiTheme="minorEastAsia" w:eastAsiaTheme="minorEastAsia" w:cstheme="minorEastAsia"/>
          <w:kern w:val="0"/>
          <w:sz w:val="24"/>
          <w:lang w:val="zh-CN"/>
        </w:rPr>
        <w:t>员，以保证</w:t>
      </w:r>
      <w:r>
        <w:rPr>
          <w:rFonts w:hint="eastAsia" w:asciiTheme="minorEastAsia" w:hAnsiTheme="minorEastAsia" w:eastAsiaTheme="minorEastAsia" w:cstheme="minorEastAsia"/>
          <w:kern w:val="0"/>
          <w:sz w:val="24"/>
        </w:rPr>
        <w:t>执行甲方安全、环保及6S管理方面的相关规定</w:t>
      </w:r>
      <w:r>
        <w:rPr>
          <w:rFonts w:hint="eastAsia" w:asciiTheme="minorEastAsia" w:hAnsiTheme="minorEastAsia" w:eastAsiaTheme="minorEastAsia" w:cstheme="minorEastAsia"/>
          <w:kern w:val="0"/>
          <w:sz w:val="24"/>
          <w:lang w:val="zh-CN"/>
        </w:rPr>
        <w:t>。设置专职</w:t>
      </w:r>
      <w:r>
        <w:rPr>
          <w:rFonts w:hint="eastAsia" w:asciiTheme="minorEastAsia" w:hAnsiTheme="minorEastAsia" w:eastAsiaTheme="minorEastAsia" w:cstheme="minorEastAsia"/>
          <w:kern w:val="0"/>
          <w:sz w:val="24"/>
        </w:rPr>
        <w:t>安全网</w:t>
      </w:r>
      <w:r>
        <w:rPr>
          <w:rFonts w:hint="eastAsia" w:asciiTheme="minorEastAsia" w:hAnsiTheme="minorEastAsia" w:eastAsiaTheme="minorEastAsia" w:cstheme="minorEastAsia"/>
          <w:kern w:val="0"/>
          <w:sz w:val="24"/>
          <w:lang w:val="zh-CN"/>
        </w:rPr>
        <w:t>员并不免除乙方所承担的职责、义务和责任。未设专职</w:t>
      </w:r>
      <w:r>
        <w:rPr>
          <w:rFonts w:hint="eastAsia" w:asciiTheme="minorEastAsia" w:hAnsiTheme="minorEastAsia" w:eastAsiaTheme="minorEastAsia" w:cstheme="minorEastAsia"/>
          <w:kern w:val="0"/>
          <w:sz w:val="24"/>
        </w:rPr>
        <w:t>安全网</w:t>
      </w:r>
      <w:r>
        <w:rPr>
          <w:rFonts w:hint="eastAsia" w:asciiTheme="minorEastAsia" w:hAnsiTheme="minorEastAsia" w:eastAsiaTheme="minorEastAsia" w:cstheme="minorEastAsia"/>
          <w:kern w:val="0"/>
          <w:sz w:val="24"/>
          <w:lang w:val="zh-CN"/>
        </w:rPr>
        <w:t>员的视为违约，违约金按</w:t>
      </w:r>
      <w:r>
        <w:rPr>
          <w:rFonts w:hint="eastAsia" w:asciiTheme="minorEastAsia" w:hAnsiTheme="minorEastAsia" w:eastAsiaTheme="minorEastAsia" w:cstheme="minorEastAsia"/>
          <w:kern w:val="0"/>
          <w:sz w:val="24"/>
        </w:rPr>
        <w:t>当月结算额</w:t>
      </w:r>
      <w:r>
        <w:rPr>
          <w:rFonts w:hint="eastAsia" w:asciiTheme="minorEastAsia" w:hAnsiTheme="minorEastAsia" w:eastAsiaTheme="minorEastAsia" w:cstheme="minorEastAsia"/>
          <w:kern w:val="0"/>
          <w:sz w:val="24"/>
          <w:lang w:val="zh-CN"/>
        </w:rPr>
        <w:t>的0.5%计算。</w:t>
      </w:r>
    </w:p>
    <w:p>
      <w:pPr>
        <w:rPr>
          <w:rFonts w:asciiTheme="minorEastAsia" w:hAnsiTheme="minorEastAsia" w:eastAsiaTheme="minorEastAsia" w:cstheme="minorEastAsia"/>
          <w:b/>
          <w:bCs/>
          <w:kern w:val="0"/>
          <w:sz w:val="24"/>
          <w:lang w:val="zh-CN"/>
        </w:rPr>
      </w:pPr>
      <w:r>
        <w:rPr>
          <w:rFonts w:hint="eastAsia" w:asciiTheme="minorEastAsia" w:hAnsiTheme="minorEastAsia" w:eastAsiaTheme="minorEastAsia" w:cstheme="minorEastAsia"/>
          <w:b/>
          <w:bCs/>
          <w:kern w:val="0"/>
          <w:sz w:val="24"/>
          <w:lang w:val="zh-CN"/>
        </w:rPr>
        <w:t>十、人员管理</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1</w:t>
      </w:r>
      <w:r>
        <w:rPr>
          <w:rFonts w:hint="eastAsia" w:asciiTheme="minorEastAsia" w:hAnsiTheme="minorEastAsia" w:eastAsiaTheme="minorEastAsia" w:cstheme="minorEastAsia"/>
          <w:kern w:val="0"/>
          <w:sz w:val="24"/>
        </w:rPr>
        <w:t>0</w:t>
      </w:r>
      <w:r>
        <w:rPr>
          <w:rFonts w:hint="eastAsia" w:asciiTheme="minorEastAsia" w:hAnsiTheme="minorEastAsia" w:eastAsiaTheme="minorEastAsia" w:cstheme="minorEastAsia"/>
          <w:kern w:val="0"/>
          <w:sz w:val="24"/>
          <w:lang w:val="zh-CN"/>
        </w:rPr>
        <w:t>.1乙方驻厂管理人员要求：</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1）遵守甲方制度，外出必须向甲方生产经理请假（超过1个工作日需书面签审）。</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2）执行班前会制度，会上及时反映生产任务、人员管理、问题建议</w:t>
      </w:r>
      <w:r>
        <w:rPr>
          <w:rFonts w:hint="eastAsia" w:asciiTheme="minorEastAsia" w:hAnsiTheme="minorEastAsia" w:eastAsiaTheme="minorEastAsia" w:cstheme="minorEastAsia"/>
          <w:kern w:val="0"/>
          <w:sz w:val="24"/>
        </w:rPr>
        <w:t>及每日安全6S宣贯</w:t>
      </w:r>
      <w:r>
        <w:rPr>
          <w:rFonts w:hint="eastAsia" w:asciiTheme="minorEastAsia" w:hAnsiTheme="minorEastAsia" w:eastAsiaTheme="minorEastAsia" w:cstheme="minorEastAsia"/>
          <w:kern w:val="0"/>
          <w:sz w:val="24"/>
          <w:lang w:val="zh-CN"/>
        </w:rPr>
        <w:t>等，及时解决生产当中的问题，及时提出问题和需求。</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3）按照甲方培训计划安排，组织开展工人技能培训与考试，</w:t>
      </w:r>
      <w:r>
        <w:rPr>
          <w:rFonts w:hint="eastAsia" w:asciiTheme="minorEastAsia" w:hAnsiTheme="minorEastAsia" w:eastAsiaTheme="minorEastAsia" w:cstheme="minorEastAsia"/>
          <w:kern w:val="0"/>
          <w:sz w:val="24"/>
        </w:rPr>
        <w:t>甲方不定期对乙方工人进行技能检查</w:t>
      </w:r>
      <w:r>
        <w:rPr>
          <w:rFonts w:hint="eastAsia" w:asciiTheme="minorEastAsia" w:hAnsiTheme="minorEastAsia" w:eastAsiaTheme="minorEastAsia" w:cstheme="minorEastAsia"/>
          <w:kern w:val="0"/>
          <w:sz w:val="24"/>
          <w:lang w:val="zh-CN"/>
        </w:rPr>
        <w:t>。</w:t>
      </w:r>
    </w:p>
    <w:p>
      <w:pPr>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kern w:val="0"/>
          <w:sz w:val="24"/>
          <w:lang w:val="zh-CN"/>
        </w:rPr>
        <w:t>4）乙方中途更换人员，必须事先通知甲方并按本合同约定履行相关手续。</w:t>
      </w:r>
      <w:r>
        <w:rPr>
          <w:rFonts w:hint="eastAsia" w:asciiTheme="minorEastAsia" w:hAnsiTheme="minorEastAsia" w:eastAsiaTheme="minorEastAsia" w:cstheme="minorEastAsia"/>
          <w:sz w:val="24"/>
        </w:rPr>
        <w:t>对于劳务人员岗位设置，要求劳务根据人员岗位设置制定组织架构图并限制组长及以上岗位人员流动性，重要岗位人员变动提前半月或一月告知甲方。</w:t>
      </w:r>
    </w:p>
    <w:p>
      <w:pPr>
        <w:ind w:firstLine="480" w:firstLineChars="200"/>
        <w:rPr>
          <w:rFonts w:asciiTheme="minorEastAsia" w:hAnsiTheme="minorEastAsia" w:eastAsiaTheme="minorEastAsia" w:cstheme="minorEastAsia"/>
          <w:sz w:val="24"/>
          <w:lang w:val="zh-CN"/>
        </w:rPr>
      </w:pPr>
      <w:r>
        <w:rPr>
          <w:rFonts w:hint="eastAsia" w:asciiTheme="minorEastAsia" w:hAnsiTheme="minorEastAsia" w:eastAsiaTheme="minorEastAsia" w:cstheme="minorEastAsia"/>
          <w:kern w:val="0"/>
          <w:sz w:val="24"/>
        </w:rPr>
        <w:t>5）乙方工人进场后不能随意更换，人员技能必须符合甲方生产需求。</w:t>
      </w:r>
      <w:r>
        <w:rPr>
          <w:rFonts w:hint="eastAsia" w:asciiTheme="minorEastAsia" w:hAnsiTheme="minorEastAsia" w:eastAsiaTheme="minorEastAsia" w:cstheme="minorEastAsia"/>
          <w:sz w:val="24"/>
        </w:rPr>
        <w:t>明确各班组管理人员设置情况，定员定岗同时要对人员流动性有明确要求，且明确新进厂工人的技能标准。</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rPr>
        <w:t>6</w:t>
      </w:r>
      <w:r>
        <w:rPr>
          <w:rFonts w:hint="eastAsia" w:asciiTheme="minorEastAsia" w:hAnsiTheme="minorEastAsia" w:eastAsiaTheme="minorEastAsia" w:cstheme="minorEastAsia"/>
          <w:kern w:val="0"/>
          <w:sz w:val="24"/>
          <w:lang w:val="zh-CN"/>
        </w:rPr>
        <w:t>）乙方人员随时满足甲方项目生产计划需要，因甲方市场订单原因项目大幅度增长或不足时，甲方提前3天书面通知，乙方无条件按通知要求作出相应人员安排，甲方不承担任何费用。</w:t>
      </w:r>
      <w:r>
        <w:rPr>
          <w:rFonts w:hint="eastAsia" w:asciiTheme="minorEastAsia" w:hAnsiTheme="minorEastAsia" w:eastAsiaTheme="minorEastAsia" w:cstheme="minorEastAsia"/>
          <w:kern w:val="0"/>
          <w:sz w:val="24"/>
        </w:rPr>
        <w:t>因乙方人员不满足生产导致的发货延误等后果依据本合同9.10执行</w:t>
      </w:r>
      <w:r>
        <w:rPr>
          <w:rFonts w:hint="eastAsia" w:asciiTheme="minorEastAsia" w:hAnsiTheme="minorEastAsia" w:eastAsiaTheme="minorEastAsia" w:cstheme="minorEastAsia"/>
          <w:kern w:val="0"/>
          <w:sz w:val="24"/>
          <w:lang w:val="zh-CN"/>
        </w:rPr>
        <w:t>。</w:t>
      </w:r>
    </w:p>
    <w:p>
      <w:pPr>
        <w:ind w:firstLine="480" w:firstLineChars="200"/>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生产线乙方管理人员每月要对乙方生产人员进行考核评分制，进行末位淘汰制度。甲方生产厂对乙方管理人员每月进行考核，考核包含生产效率、生产质量、现场6S管理等。每月考核报表需在当月月底上交。对于不合格人员甲方有权要求乙方及时更换管理及生产人员，乙方必须执行。</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1</w:t>
      </w:r>
      <w:r>
        <w:rPr>
          <w:rFonts w:hint="eastAsia" w:asciiTheme="minorEastAsia" w:hAnsiTheme="minorEastAsia" w:eastAsiaTheme="minorEastAsia" w:cstheme="minorEastAsia"/>
          <w:kern w:val="0"/>
          <w:sz w:val="24"/>
        </w:rPr>
        <w:t>0</w:t>
      </w:r>
      <w:r>
        <w:rPr>
          <w:rFonts w:hint="eastAsia" w:asciiTheme="minorEastAsia" w:hAnsiTheme="minorEastAsia" w:eastAsiaTheme="minorEastAsia" w:cstheme="minorEastAsia"/>
          <w:kern w:val="0"/>
          <w:sz w:val="24"/>
          <w:lang w:val="zh-CN"/>
        </w:rPr>
        <w:t>.2乙方人员劳动纪律（三必须四严禁）：</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1）上班必须穿劳保服带安全帽；</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2）工作必须服从指挥；</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3）工作完必须清理现场保持整洁；</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4）严禁在车间和堆场吸烟（指定吸烟点除外），严禁酒后作业；</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5）严禁在吊装物下穿越或逗留；</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6）严禁谩骂工友，严禁打架斗殴；</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1</w:t>
      </w:r>
      <w:r>
        <w:rPr>
          <w:rFonts w:hint="eastAsia" w:asciiTheme="minorEastAsia" w:hAnsiTheme="minorEastAsia" w:eastAsiaTheme="minorEastAsia" w:cstheme="minorEastAsia"/>
          <w:kern w:val="0"/>
          <w:sz w:val="24"/>
        </w:rPr>
        <w:t>0</w:t>
      </w:r>
      <w:r>
        <w:rPr>
          <w:rFonts w:hint="eastAsia" w:asciiTheme="minorEastAsia" w:hAnsiTheme="minorEastAsia" w:eastAsiaTheme="minorEastAsia" w:cstheme="minorEastAsia"/>
          <w:kern w:val="0"/>
          <w:sz w:val="24"/>
          <w:lang w:val="zh-CN"/>
        </w:rPr>
        <w:t>.3实名制管理</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1、乙方在工人进场两个工作日内将进入车间的作业人员年龄（</w:t>
      </w:r>
      <w:r>
        <w:rPr>
          <w:rFonts w:hint="eastAsia" w:asciiTheme="minorEastAsia" w:hAnsiTheme="minorEastAsia" w:eastAsiaTheme="minorEastAsia" w:cstheme="minorEastAsia"/>
          <w:kern w:val="0"/>
          <w:sz w:val="24"/>
        </w:rPr>
        <w:t>乙方用工年龄不得超过55周岁</w:t>
      </w:r>
      <w:r>
        <w:rPr>
          <w:rFonts w:hint="eastAsia" w:asciiTheme="minorEastAsia" w:hAnsiTheme="minorEastAsia" w:eastAsiaTheme="minorEastAsia" w:cstheme="minorEastAsia"/>
          <w:kern w:val="0"/>
          <w:sz w:val="24"/>
          <w:lang w:val="zh-CN"/>
        </w:rPr>
        <w:t>）、工种、身份证、家庭住址、用工合同签订、进出场时间等个人信息上报甲方劳资员，由甲方审核、登记、建立《生产厂工人花名册》。</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2、生产车间已安装考勤设备，每天进入车间的乙方作业人员必须遵守甲方日常考勤制度，每天不少于4次（早上1次，中午上下班各1次，下午1次）。甲方劳资员负责对乙方作业人员考勤记录收集整理，每月定期进行现场公示5日。乙方人员若有异议，需在公示期内与甲方劳资员进行澄清。</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3、乙方负责人必须每月初将上月《农民工工资发放表》（工资表包含工人姓名、住址、身份证号、工资金额等，并加盖乙方公司公章）上报甲方劳资员进行签字核实，经甲方核实花名册、考勤册、工资册确实统一后，甲方予以拨付当月工程款；否则，不予拨付当月工程款。</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4、乙方应在作业人员进场前按甲方要求向甲方劳资员上报《用工登记表》和作业人员基本信息。甲方劳资员在审核用工登记表时，采集乙方作业人员的面相或指纹进行电子信息登记。</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5、乙方施工作业人员退场前，须按甲方要求上报《生产厂人员出场登记表》，乙方作业人员签字确认并经甲方审核确认后方可退场。</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11.4惩罚措施</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对不按规定要求履行的乙方人员及乙方单位实行经济处罚，罚款直接从拨付的工程款中扣除。具体情况如下：</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1、对乙方人员进场时不能按甲方要求提供人员信息并进行信息采集登记的罚款100元/每人次。</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2、对不按甲方考勤制度要求进行考勤的罚款100元/每人次。</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3、对不按甲方工资发放要求实施的，如乙方不予提供《农民工工资发放表》，或提供的工资表与花名册、考勤册不符，或提供的工资表没有加盖乙方单位公章，甲方均有权停止拨付工程款，并罚款1000元/次。</w:t>
      </w:r>
    </w:p>
    <w:p>
      <w:pPr>
        <w:ind w:firstLine="480" w:firstLineChars="200"/>
        <w:rPr>
          <w:rFonts w:asciiTheme="minorEastAsia" w:hAnsiTheme="minorEastAsia" w:eastAsiaTheme="minorEastAsia" w:cstheme="minorEastAsia"/>
          <w:kern w:val="0"/>
          <w:sz w:val="24"/>
          <w:highlight w:val="yellow"/>
          <w:lang w:val="zh-CN"/>
        </w:rPr>
      </w:pPr>
      <w:r>
        <w:rPr>
          <w:rFonts w:hint="eastAsia" w:asciiTheme="minorEastAsia" w:hAnsiTheme="minorEastAsia" w:eastAsiaTheme="minorEastAsia" w:cstheme="minorEastAsia"/>
          <w:kern w:val="0"/>
          <w:sz w:val="24"/>
          <w:lang w:val="zh-CN"/>
        </w:rPr>
        <w:t>4、对施工作业人员出场时不按本要求填报《作业人员出场登记表》的，罚款100元/每人次。</w:t>
      </w:r>
    </w:p>
    <w:p>
      <w:pPr>
        <w:rPr>
          <w:rFonts w:asciiTheme="minorEastAsia" w:hAnsiTheme="minorEastAsia" w:eastAsiaTheme="minorEastAsia" w:cstheme="minorEastAsia"/>
          <w:b/>
          <w:bCs/>
          <w:kern w:val="0"/>
          <w:sz w:val="24"/>
          <w:lang w:val="zh-CN"/>
        </w:rPr>
      </w:pPr>
      <w:r>
        <w:rPr>
          <w:rFonts w:hint="eastAsia" w:asciiTheme="minorEastAsia" w:hAnsiTheme="minorEastAsia" w:eastAsiaTheme="minorEastAsia" w:cstheme="minorEastAsia"/>
          <w:b/>
          <w:bCs/>
          <w:kern w:val="0"/>
          <w:sz w:val="24"/>
          <w:lang w:val="zh-CN"/>
        </w:rPr>
        <w:t>十一、违约责任</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1</w:t>
      </w:r>
      <w:r>
        <w:rPr>
          <w:rFonts w:hint="eastAsia" w:asciiTheme="minorEastAsia" w:hAnsiTheme="minorEastAsia" w:eastAsiaTheme="minorEastAsia" w:cstheme="minorEastAsia"/>
          <w:kern w:val="0"/>
          <w:sz w:val="24"/>
        </w:rPr>
        <w:t>1</w:t>
      </w:r>
      <w:r>
        <w:rPr>
          <w:rFonts w:hint="eastAsia" w:asciiTheme="minorEastAsia" w:hAnsiTheme="minorEastAsia" w:eastAsiaTheme="minorEastAsia" w:cstheme="minorEastAsia"/>
          <w:kern w:val="0"/>
          <w:sz w:val="24"/>
          <w:lang w:val="zh-CN"/>
        </w:rPr>
        <w:t>.1有下列情况之一，均属乙方违约：</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1）因乙方自身原因半年内累计3次以上（含3次）不能如期完成生产任务而影响总体生产进度的；</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2）因乙方自身原因未能在甲方规定的时间内完成整改内容，并经催促无效的；</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3）因乙方生产问题导致产品不符合甲方质量验收标准，造成甲方材料浪费、进度滞后和信誉损害的；</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4）乙方中途放弃承包或将工程转包给第三者；</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5）乙方聚众闹事、哄抬工价、缠索工费，扰乱甲方正常工作秩序的；</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6）乙方指派的生产经理或其他管理人员经常擅离工作岗位，或乙方生产人员严重影响甲方其</w:t>
      </w:r>
      <w:r>
        <w:rPr>
          <w:rFonts w:hint="eastAsia" w:asciiTheme="minorEastAsia" w:hAnsiTheme="minorEastAsia" w:eastAsiaTheme="minorEastAsia" w:cstheme="minorEastAsia"/>
          <w:kern w:val="0"/>
          <w:sz w:val="24"/>
        </w:rPr>
        <w:t>它</w:t>
      </w:r>
      <w:r>
        <w:rPr>
          <w:rFonts w:hint="eastAsia" w:asciiTheme="minorEastAsia" w:hAnsiTheme="minorEastAsia" w:eastAsiaTheme="minorEastAsia" w:cstheme="minorEastAsia"/>
          <w:kern w:val="0"/>
          <w:sz w:val="24"/>
          <w:lang w:val="zh-CN"/>
        </w:rPr>
        <w:t>工序的；</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7）未经甲方允许，乙方无故停工的。</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对乙方上述的违约行为，甲方有权对乙方进行每次处以5000元以上违约金</w:t>
      </w:r>
      <w:r>
        <w:rPr>
          <w:rFonts w:hint="eastAsia" w:asciiTheme="minorEastAsia" w:hAnsiTheme="minorEastAsia" w:eastAsiaTheme="minorEastAsia" w:cstheme="minorEastAsia"/>
          <w:kern w:val="0"/>
          <w:sz w:val="24"/>
        </w:rPr>
        <w:t>处罚</w:t>
      </w:r>
      <w:r>
        <w:rPr>
          <w:rFonts w:hint="eastAsia" w:asciiTheme="minorEastAsia" w:hAnsiTheme="minorEastAsia" w:eastAsiaTheme="minorEastAsia" w:cstheme="minorEastAsia"/>
          <w:kern w:val="0"/>
          <w:sz w:val="24"/>
          <w:lang w:val="zh-CN"/>
        </w:rPr>
        <w:t>，并赔偿损失或终止合同等。</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1</w:t>
      </w:r>
      <w:r>
        <w:rPr>
          <w:rFonts w:hint="eastAsia" w:asciiTheme="minorEastAsia" w:hAnsiTheme="minorEastAsia" w:eastAsiaTheme="minorEastAsia" w:cstheme="minorEastAsia"/>
          <w:kern w:val="0"/>
          <w:sz w:val="24"/>
        </w:rPr>
        <w:t>1</w:t>
      </w:r>
      <w:r>
        <w:rPr>
          <w:rFonts w:hint="eastAsia" w:asciiTheme="minorEastAsia" w:hAnsiTheme="minorEastAsia" w:eastAsiaTheme="minorEastAsia" w:cstheme="minorEastAsia"/>
          <w:kern w:val="0"/>
          <w:sz w:val="24"/>
          <w:lang w:val="zh-CN"/>
        </w:rPr>
        <w:t>.2由于甲方原因，要求乙方对已完工程进行返工重做的：其变更费用在1000元以外的，由甲方补偿乙方因返工而引起的实际损失费用；在上述金额内的变更费用甲方已在乙方的工价中考虑，不再补偿。</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1</w:t>
      </w:r>
      <w:r>
        <w:rPr>
          <w:rFonts w:hint="eastAsia" w:asciiTheme="minorEastAsia" w:hAnsiTheme="minorEastAsia" w:eastAsiaTheme="minorEastAsia" w:cstheme="minorEastAsia"/>
          <w:kern w:val="0"/>
          <w:sz w:val="24"/>
        </w:rPr>
        <w:t>1</w:t>
      </w:r>
      <w:r>
        <w:rPr>
          <w:rFonts w:hint="eastAsia" w:asciiTheme="minorEastAsia" w:hAnsiTheme="minorEastAsia" w:eastAsiaTheme="minorEastAsia" w:cstheme="minorEastAsia"/>
          <w:kern w:val="0"/>
          <w:sz w:val="24"/>
          <w:lang w:val="zh-CN"/>
        </w:rPr>
        <w:t>.3由于乙方中途无故放弃承包任务或中途擅自停工的，造成甲方总体生产进度滞后，甲方有权拒付劳务款，并要求乙方承担20000元的违约金及承担因此导致的甲方全部经济损失。</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本合同经双方法定代表人或其授权的委托代表人签章并加盖公章（或合同专用章）后生效。该合同一式肆份，甲方执贰份，乙方执贰份，具同等法律效力。</w:t>
      </w:r>
    </w:p>
    <w:p>
      <w:pPr>
        <w:rPr>
          <w:rFonts w:asciiTheme="minorEastAsia" w:hAnsiTheme="minorEastAsia" w:eastAsiaTheme="minorEastAsia" w:cstheme="minorEastAsia"/>
          <w:b/>
          <w:bCs/>
          <w:kern w:val="0"/>
          <w:sz w:val="24"/>
          <w:lang w:val="zh-CN"/>
        </w:rPr>
      </w:pPr>
      <w:r>
        <w:rPr>
          <w:rFonts w:hint="eastAsia" w:asciiTheme="minorEastAsia" w:hAnsiTheme="minorEastAsia" w:eastAsiaTheme="minorEastAsia" w:cstheme="minorEastAsia"/>
          <w:b/>
          <w:bCs/>
          <w:kern w:val="0"/>
          <w:sz w:val="24"/>
          <w:lang w:val="zh-CN"/>
        </w:rPr>
        <w:t>十二、其他</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1</w:t>
      </w:r>
      <w:r>
        <w:rPr>
          <w:rFonts w:hint="eastAsia" w:asciiTheme="minorEastAsia" w:hAnsiTheme="minorEastAsia" w:eastAsiaTheme="minorEastAsia" w:cstheme="minorEastAsia"/>
          <w:kern w:val="0"/>
          <w:sz w:val="24"/>
        </w:rPr>
        <w:t>2</w:t>
      </w:r>
      <w:r>
        <w:rPr>
          <w:rFonts w:hint="eastAsia" w:asciiTheme="minorEastAsia" w:hAnsiTheme="minorEastAsia" w:eastAsiaTheme="minorEastAsia" w:cstheme="minorEastAsia"/>
          <w:kern w:val="0"/>
          <w:sz w:val="24"/>
          <w:lang w:val="zh-CN"/>
        </w:rPr>
        <w:t>.1为满足安全、文明生产需要，乙方所有作业人员进入作业区内必须按照甲方生产管理规范穿戴劳保用品（工作服、安全帽）。</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1</w:t>
      </w:r>
      <w:r>
        <w:rPr>
          <w:rFonts w:hint="eastAsia" w:asciiTheme="minorEastAsia" w:hAnsiTheme="minorEastAsia" w:eastAsiaTheme="minorEastAsia" w:cstheme="minorEastAsia"/>
          <w:kern w:val="0"/>
          <w:sz w:val="24"/>
        </w:rPr>
        <w:t>2</w:t>
      </w:r>
      <w:r>
        <w:rPr>
          <w:rFonts w:hint="eastAsia" w:asciiTheme="minorEastAsia" w:hAnsiTheme="minorEastAsia" w:eastAsiaTheme="minorEastAsia" w:cstheme="minorEastAsia"/>
          <w:kern w:val="0"/>
          <w:sz w:val="24"/>
          <w:lang w:val="zh-CN"/>
        </w:rPr>
        <w:t>.2工程所在地政府要求办理的暂住证、乙方特殊工种的上岗培训等</w:t>
      </w:r>
      <w:r>
        <w:rPr>
          <w:rFonts w:hint="eastAsia" w:asciiTheme="minorEastAsia" w:hAnsiTheme="minorEastAsia" w:eastAsiaTheme="minorEastAsia" w:cstheme="minorEastAsia"/>
          <w:kern w:val="0"/>
          <w:sz w:val="24"/>
        </w:rPr>
        <w:t>费</w:t>
      </w:r>
      <w:r>
        <w:rPr>
          <w:rFonts w:hint="eastAsia" w:asciiTheme="minorEastAsia" w:hAnsiTheme="minorEastAsia" w:eastAsiaTheme="minorEastAsia" w:cstheme="minorEastAsia"/>
          <w:kern w:val="0"/>
          <w:sz w:val="24"/>
          <w:lang w:val="zh-CN"/>
        </w:rPr>
        <w:t>用由乙方自理；因拒绝办理而导致乙方或者甲方受到地方主管部门的罚款由乙方承担。</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1</w:t>
      </w:r>
      <w:r>
        <w:rPr>
          <w:rFonts w:hint="eastAsia" w:asciiTheme="minorEastAsia" w:hAnsiTheme="minorEastAsia" w:eastAsiaTheme="minorEastAsia" w:cstheme="minorEastAsia"/>
          <w:kern w:val="0"/>
          <w:sz w:val="24"/>
        </w:rPr>
        <w:t>2</w:t>
      </w:r>
      <w:r>
        <w:rPr>
          <w:rFonts w:hint="eastAsia" w:asciiTheme="minorEastAsia" w:hAnsiTheme="minorEastAsia" w:eastAsiaTheme="minorEastAsia" w:cstheme="minorEastAsia"/>
          <w:kern w:val="0"/>
          <w:sz w:val="24"/>
          <w:lang w:val="zh-CN"/>
        </w:rPr>
        <w:t>.3因本合同履行发生争议，双方协商解决。协商不成的，可向杜集区法院提起诉讼。</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1</w:t>
      </w:r>
      <w:r>
        <w:rPr>
          <w:rFonts w:hint="eastAsia" w:asciiTheme="minorEastAsia" w:hAnsiTheme="minorEastAsia" w:eastAsiaTheme="minorEastAsia" w:cstheme="minorEastAsia"/>
          <w:kern w:val="0"/>
          <w:sz w:val="24"/>
        </w:rPr>
        <w:t>2</w:t>
      </w:r>
      <w:r>
        <w:rPr>
          <w:rFonts w:hint="eastAsia" w:asciiTheme="minorEastAsia" w:hAnsiTheme="minorEastAsia" w:eastAsiaTheme="minorEastAsia" w:cstheme="minorEastAsia"/>
          <w:kern w:val="0"/>
          <w:sz w:val="24"/>
          <w:lang w:val="zh-CN"/>
        </w:rPr>
        <w:t>.4甲乙双方的对账依据为经甲方</w:t>
      </w:r>
      <w:r>
        <w:rPr>
          <w:rFonts w:hint="eastAsia" w:asciiTheme="minorEastAsia" w:hAnsiTheme="minorEastAsia" w:eastAsiaTheme="minorEastAsia" w:cstheme="minorEastAsia"/>
          <w:kern w:val="0"/>
          <w:sz w:val="24"/>
        </w:rPr>
        <w:t>质检</w:t>
      </w:r>
      <w:r>
        <w:rPr>
          <w:rFonts w:hint="eastAsia" w:asciiTheme="minorEastAsia" w:hAnsiTheme="minorEastAsia" w:eastAsiaTheme="minorEastAsia" w:cstheme="minorEastAsia"/>
          <w:kern w:val="0"/>
          <w:sz w:val="24"/>
          <w:lang w:val="zh-CN"/>
        </w:rPr>
        <w:t>部门签字确认的质检</w:t>
      </w:r>
      <w:r>
        <w:rPr>
          <w:rFonts w:hint="eastAsia" w:asciiTheme="minorEastAsia" w:hAnsiTheme="minorEastAsia" w:eastAsiaTheme="minorEastAsia" w:cstheme="minorEastAsia"/>
          <w:kern w:val="0"/>
          <w:sz w:val="24"/>
        </w:rPr>
        <w:t>检</w:t>
      </w:r>
      <w:r>
        <w:rPr>
          <w:rFonts w:hint="eastAsia" w:asciiTheme="minorEastAsia" w:hAnsiTheme="minorEastAsia" w:eastAsiaTheme="minorEastAsia" w:cstheme="minorEastAsia"/>
          <w:kern w:val="0"/>
          <w:sz w:val="24"/>
          <w:lang w:val="zh-CN"/>
        </w:rPr>
        <w:t>验单为准。</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1</w:t>
      </w:r>
      <w:r>
        <w:rPr>
          <w:rFonts w:hint="eastAsia" w:asciiTheme="minorEastAsia" w:hAnsiTheme="minorEastAsia" w:eastAsiaTheme="minorEastAsia" w:cstheme="minorEastAsia"/>
          <w:kern w:val="0"/>
          <w:sz w:val="24"/>
        </w:rPr>
        <w:t>2</w:t>
      </w:r>
      <w:r>
        <w:rPr>
          <w:rFonts w:hint="eastAsia" w:asciiTheme="minorEastAsia" w:hAnsiTheme="minorEastAsia" w:eastAsiaTheme="minorEastAsia" w:cstheme="minorEastAsia"/>
          <w:kern w:val="0"/>
          <w:sz w:val="24"/>
          <w:lang w:val="zh-CN"/>
        </w:rPr>
        <w:t>.5以上报价是合同期限内（自签订之日起一年）的平行报价，中间不再接受价格调整。</w:t>
      </w:r>
    </w:p>
    <w:p>
      <w:pPr>
        <w:pStyle w:val="2"/>
        <w:ind w:firstLine="480" w:firstLineChars="200"/>
        <w:jc w:val="both"/>
        <w:rPr>
          <w:rFonts w:eastAsiaTheme="minorEastAsia"/>
        </w:rPr>
      </w:pPr>
      <w:r>
        <w:rPr>
          <w:rFonts w:hint="eastAsia" w:asciiTheme="minorEastAsia" w:hAnsiTheme="minorEastAsia" w:eastAsiaTheme="minorEastAsia" w:cstheme="minorEastAsia"/>
          <w:kern w:val="0"/>
          <w:sz w:val="24"/>
        </w:rPr>
        <w:t>12.6本合同期内，甲方有权随时单方面解除合同，自解除合同通知书送达乙方时自动解除合同。乙方需在收到甲方解除合同通知书后2日内向甲方交接全部工作，并安排全部劳务人员退场。</w:t>
      </w:r>
    </w:p>
    <w:p>
      <w:pPr>
        <w:ind w:firstLine="480" w:firstLineChars="200"/>
        <w:rPr>
          <w:rFonts w:asciiTheme="minorEastAsia" w:hAnsiTheme="minorEastAsia" w:eastAsiaTheme="minorEastAsia" w:cstheme="minorEastAsia"/>
          <w:kern w:val="0"/>
          <w:sz w:val="24"/>
          <w:lang w:val="zh-CN"/>
        </w:rPr>
      </w:pPr>
      <w:r>
        <w:rPr>
          <w:rFonts w:hint="eastAsia" w:asciiTheme="minorEastAsia" w:hAnsiTheme="minorEastAsia" w:eastAsiaTheme="minorEastAsia" w:cstheme="minorEastAsia"/>
          <w:kern w:val="0"/>
          <w:sz w:val="24"/>
          <w:lang w:val="zh-CN"/>
        </w:rPr>
        <w:t>1</w:t>
      </w:r>
      <w:r>
        <w:rPr>
          <w:rFonts w:hint="eastAsia" w:asciiTheme="minorEastAsia" w:hAnsiTheme="minorEastAsia" w:eastAsiaTheme="minorEastAsia" w:cstheme="minorEastAsia"/>
          <w:kern w:val="0"/>
          <w:sz w:val="24"/>
        </w:rPr>
        <w:t>2</w:t>
      </w:r>
      <w:r>
        <w:rPr>
          <w:rFonts w:hint="eastAsia" w:asciiTheme="minorEastAsia" w:hAnsiTheme="minorEastAsia" w:eastAsiaTheme="minorEastAsia" w:cstheme="minorEastAsia"/>
          <w:kern w:val="0"/>
          <w:sz w:val="24"/>
          <w:lang w:val="zh-CN"/>
        </w:rPr>
        <w:t>.</w:t>
      </w:r>
      <w:r>
        <w:rPr>
          <w:rFonts w:hint="eastAsia" w:asciiTheme="minorEastAsia" w:hAnsiTheme="minorEastAsia" w:eastAsiaTheme="minorEastAsia" w:cstheme="minorEastAsia"/>
          <w:kern w:val="0"/>
          <w:sz w:val="24"/>
        </w:rPr>
        <w:t>7</w:t>
      </w:r>
      <w:r>
        <w:rPr>
          <w:rFonts w:hint="eastAsia" w:asciiTheme="minorEastAsia" w:hAnsiTheme="minorEastAsia" w:eastAsiaTheme="minorEastAsia" w:cstheme="minorEastAsia"/>
          <w:kern w:val="0"/>
          <w:sz w:val="24"/>
          <w:lang w:val="zh-CN"/>
        </w:rPr>
        <w:t>合同生效及份数：本合同自双方签字、盖章之日起生效；本合同一式肆份，甲乙双方各执贰份。</w:t>
      </w:r>
    </w:p>
    <w:tbl>
      <w:tblPr>
        <w:tblStyle w:val="15"/>
        <w:tblW w:w="9566" w:type="dxa"/>
        <w:tblInd w:w="-1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1"/>
        <w:gridCol w:w="2678"/>
        <w:gridCol w:w="1991"/>
        <w:gridCol w:w="29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4649" w:type="dxa"/>
            <w:gridSpan w:val="2"/>
            <w:tcBorders>
              <w:top w:val="single" w:color="auto" w:sz="4" w:space="0"/>
              <w:left w:val="single" w:color="auto" w:sz="4" w:space="0"/>
              <w:bottom w:val="nil"/>
              <w:right w:val="single" w:color="auto" w:sz="4" w:space="0"/>
            </w:tcBorders>
          </w:tcPr>
          <w:p>
            <w:pPr>
              <w:spacing w:line="460" w:lineRule="exact"/>
              <w:jc w:val="center"/>
              <w:textAlignment w:val="baseline"/>
              <w:rPr>
                <w:sz w:val="24"/>
              </w:rPr>
            </w:pPr>
            <w:r>
              <w:rPr>
                <w:rStyle w:val="26"/>
                <w:rFonts w:ascii="宋体" w:hAnsi="宋体" w:cs="宋体"/>
                <w:b/>
                <w:bCs/>
                <w:sz w:val="28"/>
                <w:szCs w:val="28"/>
              </w:rPr>
              <w:t>甲 方</w:t>
            </w:r>
          </w:p>
        </w:tc>
        <w:tc>
          <w:tcPr>
            <w:tcW w:w="4917" w:type="dxa"/>
            <w:gridSpan w:val="2"/>
            <w:tcBorders>
              <w:top w:val="single" w:color="auto" w:sz="4" w:space="0"/>
              <w:left w:val="single" w:color="auto" w:sz="4" w:space="0"/>
              <w:bottom w:val="nil"/>
              <w:right w:val="single" w:color="auto" w:sz="4" w:space="0"/>
            </w:tcBorders>
          </w:tcPr>
          <w:p>
            <w:pPr>
              <w:tabs>
                <w:tab w:val="left" w:pos="840"/>
                <w:tab w:val="center" w:pos="1512"/>
              </w:tabs>
              <w:spacing w:line="460" w:lineRule="exact"/>
              <w:jc w:val="center"/>
              <w:rPr>
                <w:sz w:val="24"/>
              </w:rPr>
            </w:pPr>
            <w:r>
              <w:rPr>
                <w:rFonts w:hint="eastAsia" w:ascii="宋体" w:hAnsi="宋体" w:cs="宋体"/>
                <w:b/>
                <w:bCs/>
                <w:sz w:val="28"/>
                <w:szCs w:val="28"/>
              </w:rPr>
              <w:t>乙  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1971" w:type="dxa"/>
            <w:tcBorders>
              <w:top w:val="nil"/>
              <w:left w:val="single" w:color="auto" w:sz="4" w:space="0"/>
              <w:bottom w:val="nil"/>
              <w:right w:val="nil"/>
            </w:tcBorders>
          </w:tcPr>
          <w:p>
            <w:pPr>
              <w:spacing w:line="300" w:lineRule="exact"/>
              <w:jc w:val="distribute"/>
              <w:textAlignment w:val="baseline"/>
              <w:rPr>
                <w:sz w:val="24"/>
              </w:rPr>
            </w:pPr>
            <w:r>
              <w:rPr>
                <w:rStyle w:val="26"/>
                <w:rFonts w:ascii="宋体" w:hAnsi="宋体"/>
                <w:sz w:val="24"/>
              </w:rPr>
              <w:t>单位名称（章）：</w:t>
            </w:r>
          </w:p>
        </w:tc>
        <w:tc>
          <w:tcPr>
            <w:tcW w:w="2678" w:type="dxa"/>
            <w:tcBorders>
              <w:top w:val="nil"/>
              <w:left w:val="nil"/>
              <w:bottom w:val="nil"/>
              <w:right w:val="single" w:color="auto" w:sz="4" w:space="0"/>
            </w:tcBorders>
          </w:tcPr>
          <w:p>
            <w:pPr>
              <w:spacing w:line="300" w:lineRule="exact"/>
              <w:jc w:val="left"/>
              <w:textAlignment w:val="baseline"/>
              <w:rPr>
                <w:sz w:val="24"/>
              </w:rPr>
            </w:pPr>
            <w:r>
              <w:rPr>
                <w:rStyle w:val="26"/>
                <w:color w:val="000000"/>
                <w:sz w:val="24"/>
              </w:rPr>
              <w:t>安徽</w:t>
            </w:r>
            <w:r>
              <w:rPr>
                <w:rStyle w:val="26"/>
                <w:rFonts w:ascii="宋体" w:hAnsi="宋体"/>
                <w:sz w:val="24"/>
              </w:rPr>
              <w:t>中冶淮海装配式建筑有限公司</w:t>
            </w:r>
          </w:p>
        </w:tc>
        <w:tc>
          <w:tcPr>
            <w:tcW w:w="1991" w:type="dxa"/>
            <w:tcBorders>
              <w:top w:val="nil"/>
              <w:left w:val="single" w:color="auto" w:sz="4" w:space="0"/>
              <w:bottom w:val="nil"/>
              <w:right w:val="nil"/>
            </w:tcBorders>
          </w:tcPr>
          <w:p>
            <w:pPr>
              <w:spacing w:line="300" w:lineRule="exact"/>
              <w:jc w:val="distribute"/>
              <w:rPr>
                <w:rFonts w:ascii="宋体" w:hAnsi="宋体" w:cs="宋体"/>
                <w:sz w:val="24"/>
              </w:rPr>
            </w:pPr>
            <w:r>
              <w:rPr>
                <w:rFonts w:hint="eastAsia" w:ascii="宋体" w:hAnsi="宋体" w:cs="宋体"/>
                <w:sz w:val="24"/>
              </w:rPr>
              <w:t>单位名称（章）：</w:t>
            </w:r>
          </w:p>
        </w:tc>
        <w:tc>
          <w:tcPr>
            <w:tcW w:w="2926" w:type="dxa"/>
            <w:tcBorders>
              <w:top w:val="nil"/>
              <w:left w:val="nil"/>
              <w:bottom w:val="nil"/>
              <w:right w:val="single" w:color="auto" w:sz="4" w:space="0"/>
            </w:tcBorders>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971" w:type="dxa"/>
            <w:tcBorders>
              <w:top w:val="nil"/>
              <w:left w:val="single" w:color="auto" w:sz="4" w:space="0"/>
              <w:bottom w:val="nil"/>
              <w:right w:val="nil"/>
            </w:tcBorders>
          </w:tcPr>
          <w:p>
            <w:pPr>
              <w:spacing w:line="300" w:lineRule="exact"/>
              <w:jc w:val="distribute"/>
              <w:textAlignment w:val="baseline"/>
              <w:rPr>
                <w:sz w:val="24"/>
              </w:rPr>
            </w:pPr>
            <w:r>
              <w:rPr>
                <w:rStyle w:val="26"/>
                <w:rFonts w:ascii="宋体" w:hAnsi="宋体"/>
                <w:sz w:val="24"/>
              </w:rPr>
              <w:t>单 位 地 址：</w:t>
            </w:r>
          </w:p>
        </w:tc>
        <w:tc>
          <w:tcPr>
            <w:tcW w:w="2678" w:type="dxa"/>
            <w:tcBorders>
              <w:top w:val="nil"/>
              <w:left w:val="nil"/>
              <w:bottom w:val="nil"/>
              <w:right w:val="single" w:color="auto" w:sz="4" w:space="0"/>
            </w:tcBorders>
          </w:tcPr>
          <w:p>
            <w:pPr>
              <w:spacing w:line="300" w:lineRule="exact"/>
              <w:jc w:val="left"/>
              <w:textAlignment w:val="baseline"/>
              <w:rPr>
                <w:sz w:val="24"/>
              </w:rPr>
            </w:pPr>
            <w:r>
              <w:rPr>
                <w:rStyle w:val="26"/>
                <w:rFonts w:ascii="宋体" w:hAnsi="宋体"/>
                <w:sz w:val="24"/>
              </w:rPr>
              <w:t>安徽省淮北市杜集区紫藤北路西20米</w:t>
            </w:r>
          </w:p>
        </w:tc>
        <w:tc>
          <w:tcPr>
            <w:tcW w:w="1991" w:type="dxa"/>
            <w:tcBorders>
              <w:top w:val="nil"/>
              <w:left w:val="single" w:color="auto" w:sz="4" w:space="0"/>
              <w:bottom w:val="nil"/>
              <w:right w:val="nil"/>
            </w:tcBorders>
          </w:tcPr>
          <w:p>
            <w:pPr>
              <w:spacing w:line="300" w:lineRule="exact"/>
              <w:jc w:val="distribute"/>
              <w:rPr>
                <w:rFonts w:ascii="宋体" w:hAnsi="宋体" w:cs="宋体"/>
                <w:sz w:val="24"/>
              </w:rPr>
            </w:pPr>
            <w:r>
              <w:rPr>
                <w:rFonts w:hint="eastAsia" w:ascii="宋体" w:hAnsi="宋体" w:cs="宋体"/>
                <w:sz w:val="24"/>
              </w:rPr>
              <w:t>单 位 地 址：</w:t>
            </w:r>
          </w:p>
        </w:tc>
        <w:tc>
          <w:tcPr>
            <w:tcW w:w="2926" w:type="dxa"/>
            <w:tcBorders>
              <w:top w:val="nil"/>
              <w:left w:val="nil"/>
              <w:bottom w:val="nil"/>
              <w:right w:val="single" w:color="auto" w:sz="4" w:space="0"/>
            </w:tcBorders>
          </w:tcPr>
          <w:p>
            <w:pPr>
              <w:rPr>
                <w:rFonts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1971" w:type="dxa"/>
            <w:tcBorders>
              <w:top w:val="nil"/>
              <w:left w:val="single" w:color="auto" w:sz="4" w:space="0"/>
              <w:bottom w:val="nil"/>
              <w:right w:val="nil"/>
            </w:tcBorders>
          </w:tcPr>
          <w:p>
            <w:pPr>
              <w:spacing w:line="300" w:lineRule="exact"/>
              <w:jc w:val="distribute"/>
              <w:textAlignment w:val="baseline"/>
              <w:rPr>
                <w:rFonts w:ascii="宋体" w:hAnsi="宋体" w:cs="宋体"/>
                <w:sz w:val="24"/>
              </w:rPr>
            </w:pPr>
            <w:r>
              <w:rPr>
                <w:rStyle w:val="26"/>
                <w:rFonts w:ascii="宋体" w:hAnsi="宋体"/>
                <w:sz w:val="24"/>
              </w:rPr>
              <w:t>法定代表人：</w:t>
            </w:r>
          </w:p>
        </w:tc>
        <w:tc>
          <w:tcPr>
            <w:tcW w:w="2678" w:type="dxa"/>
            <w:tcBorders>
              <w:top w:val="nil"/>
              <w:left w:val="nil"/>
              <w:bottom w:val="nil"/>
              <w:right w:val="single" w:color="auto" w:sz="4" w:space="0"/>
            </w:tcBorders>
          </w:tcPr>
          <w:p>
            <w:pPr>
              <w:spacing w:line="300" w:lineRule="exact"/>
              <w:jc w:val="left"/>
              <w:textAlignment w:val="baseline"/>
              <w:rPr>
                <w:rFonts w:ascii="宋体" w:hAnsi="宋体" w:cs="宋体"/>
                <w:sz w:val="24"/>
              </w:rPr>
            </w:pPr>
          </w:p>
        </w:tc>
        <w:tc>
          <w:tcPr>
            <w:tcW w:w="1991" w:type="dxa"/>
            <w:tcBorders>
              <w:top w:val="nil"/>
              <w:left w:val="single" w:color="auto" w:sz="4" w:space="0"/>
              <w:bottom w:val="nil"/>
              <w:right w:val="nil"/>
            </w:tcBorders>
          </w:tcPr>
          <w:p>
            <w:pPr>
              <w:spacing w:line="300" w:lineRule="exact"/>
              <w:jc w:val="distribute"/>
              <w:rPr>
                <w:rFonts w:ascii="宋体" w:hAnsi="宋体" w:cs="宋体"/>
                <w:sz w:val="24"/>
              </w:rPr>
            </w:pPr>
            <w:r>
              <w:rPr>
                <w:rFonts w:hint="eastAsia" w:ascii="宋体" w:hAnsi="宋体" w:cs="宋体"/>
                <w:sz w:val="24"/>
              </w:rPr>
              <w:t>法定代表人：</w:t>
            </w:r>
          </w:p>
        </w:tc>
        <w:tc>
          <w:tcPr>
            <w:tcW w:w="2926" w:type="dxa"/>
            <w:tcBorders>
              <w:top w:val="nil"/>
              <w:left w:val="nil"/>
              <w:bottom w:val="nil"/>
              <w:right w:val="single" w:color="auto" w:sz="4" w:space="0"/>
            </w:tcBorders>
          </w:tcPr>
          <w:p>
            <w:pPr>
              <w:spacing w:line="300" w:lineRule="exact"/>
              <w:jc w:val="left"/>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1971" w:type="dxa"/>
            <w:tcBorders>
              <w:top w:val="nil"/>
              <w:left w:val="single" w:color="auto" w:sz="4" w:space="0"/>
              <w:bottom w:val="nil"/>
              <w:right w:val="nil"/>
            </w:tcBorders>
          </w:tcPr>
          <w:p>
            <w:pPr>
              <w:spacing w:line="300" w:lineRule="exact"/>
              <w:jc w:val="distribute"/>
              <w:textAlignment w:val="baseline"/>
              <w:rPr>
                <w:rFonts w:ascii="宋体" w:hAnsi="宋体" w:cs="宋体"/>
                <w:sz w:val="24"/>
              </w:rPr>
            </w:pPr>
            <w:r>
              <w:rPr>
                <w:rStyle w:val="26"/>
                <w:rFonts w:ascii="宋体" w:hAnsi="宋体"/>
                <w:sz w:val="24"/>
              </w:rPr>
              <w:t>委托代理人：</w:t>
            </w:r>
          </w:p>
        </w:tc>
        <w:tc>
          <w:tcPr>
            <w:tcW w:w="2678" w:type="dxa"/>
            <w:tcBorders>
              <w:top w:val="nil"/>
              <w:left w:val="nil"/>
              <w:bottom w:val="nil"/>
              <w:right w:val="single" w:color="auto" w:sz="4" w:space="0"/>
            </w:tcBorders>
          </w:tcPr>
          <w:p>
            <w:pPr>
              <w:spacing w:line="300" w:lineRule="exact"/>
              <w:jc w:val="left"/>
              <w:textAlignment w:val="baseline"/>
              <w:rPr>
                <w:rStyle w:val="26"/>
                <w:sz w:val="24"/>
              </w:rPr>
            </w:pPr>
          </w:p>
          <w:p>
            <w:pPr>
              <w:spacing w:line="300" w:lineRule="exact"/>
              <w:jc w:val="left"/>
              <w:textAlignment w:val="baseline"/>
              <w:rPr>
                <w:sz w:val="24"/>
              </w:rPr>
            </w:pPr>
          </w:p>
        </w:tc>
        <w:tc>
          <w:tcPr>
            <w:tcW w:w="1991" w:type="dxa"/>
            <w:tcBorders>
              <w:top w:val="nil"/>
              <w:left w:val="single" w:color="auto" w:sz="4" w:space="0"/>
              <w:bottom w:val="nil"/>
              <w:right w:val="nil"/>
            </w:tcBorders>
          </w:tcPr>
          <w:p>
            <w:pPr>
              <w:spacing w:line="300" w:lineRule="exact"/>
              <w:jc w:val="distribute"/>
              <w:rPr>
                <w:rFonts w:ascii="宋体" w:hAnsi="宋体" w:cs="宋体"/>
                <w:sz w:val="24"/>
              </w:rPr>
            </w:pPr>
            <w:r>
              <w:rPr>
                <w:rFonts w:hint="eastAsia" w:ascii="宋体" w:hAnsi="宋体" w:cs="宋体"/>
                <w:sz w:val="24"/>
              </w:rPr>
              <w:t>委托代理人：</w:t>
            </w:r>
          </w:p>
        </w:tc>
        <w:tc>
          <w:tcPr>
            <w:tcW w:w="2926" w:type="dxa"/>
            <w:tcBorders>
              <w:top w:val="nil"/>
              <w:left w:val="nil"/>
              <w:bottom w:val="nil"/>
              <w:right w:val="single" w:color="auto" w:sz="4" w:space="0"/>
            </w:tcBorders>
          </w:tcPr>
          <w:p>
            <w:pPr>
              <w:spacing w:line="300" w:lineRule="exact"/>
              <w:jc w:val="left"/>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1971" w:type="dxa"/>
            <w:tcBorders>
              <w:top w:val="nil"/>
              <w:left w:val="single" w:color="auto" w:sz="4" w:space="0"/>
              <w:bottom w:val="nil"/>
              <w:right w:val="nil"/>
            </w:tcBorders>
          </w:tcPr>
          <w:p>
            <w:pPr>
              <w:spacing w:line="300" w:lineRule="exact"/>
              <w:jc w:val="distribute"/>
              <w:textAlignment w:val="baseline"/>
              <w:rPr>
                <w:rFonts w:ascii="宋体" w:hAnsi="宋体" w:cs="宋体"/>
                <w:sz w:val="24"/>
              </w:rPr>
            </w:pPr>
            <w:r>
              <w:rPr>
                <w:rStyle w:val="26"/>
                <w:rFonts w:ascii="宋体" w:hAnsi="宋体"/>
                <w:sz w:val="24"/>
              </w:rPr>
              <w:t>经 办 人：</w:t>
            </w:r>
          </w:p>
        </w:tc>
        <w:tc>
          <w:tcPr>
            <w:tcW w:w="2678" w:type="dxa"/>
            <w:tcBorders>
              <w:top w:val="nil"/>
              <w:left w:val="nil"/>
              <w:bottom w:val="nil"/>
              <w:right w:val="single" w:color="auto" w:sz="4" w:space="0"/>
            </w:tcBorders>
          </w:tcPr>
          <w:p>
            <w:pPr>
              <w:spacing w:line="300" w:lineRule="exact"/>
              <w:jc w:val="left"/>
              <w:textAlignment w:val="baseline"/>
              <w:rPr>
                <w:rStyle w:val="26"/>
                <w:sz w:val="24"/>
              </w:rPr>
            </w:pPr>
          </w:p>
          <w:p>
            <w:pPr>
              <w:spacing w:line="300" w:lineRule="exact"/>
              <w:jc w:val="left"/>
              <w:textAlignment w:val="baseline"/>
              <w:rPr>
                <w:sz w:val="24"/>
              </w:rPr>
            </w:pPr>
          </w:p>
        </w:tc>
        <w:tc>
          <w:tcPr>
            <w:tcW w:w="1991" w:type="dxa"/>
            <w:tcBorders>
              <w:top w:val="nil"/>
              <w:left w:val="single" w:color="auto" w:sz="4" w:space="0"/>
              <w:bottom w:val="nil"/>
              <w:right w:val="nil"/>
            </w:tcBorders>
          </w:tcPr>
          <w:p>
            <w:pPr>
              <w:spacing w:line="300" w:lineRule="exact"/>
              <w:jc w:val="distribute"/>
              <w:rPr>
                <w:rFonts w:ascii="宋体" w:hAnsi="宋体" w:cs="宋体"/>
                <w:sz w:val="24"/>
              </w:rPr>
            </w:pPr>
            <w:r>
              <w:rPr>
                <w:rFonts w:hint="eastAsia" w:ascii="宋体" w:hAnsi="宋体" w:cs="宋体"/>
                <w:sz w:val="24"/>
              </w:rPr>
              <w:t>经 办 人：</w:t>
            </w:r>
          </w:p>
        </w:tc>
        <w:tc>
          <w:tcPr>
            <w:tcW w:w="2926" w:type="dxa"/>
            <w:tcBorders>
              <w:top w:val="nil"/>
              <w:left w:val="nil"/>
              <w:bottom w:val="nil"/>
              <w:right w:val="single" w:color="auto" w:sz="4" w:space="0"/>
            </w:tcBorders>
          </w:tcPr>
          <w:p>
            <w:pPr>
              <w:spacing w:line="300" w:lineRule="exact"/>
              <w:jc w:val="left"/>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971" w:type="dxa"/>
            <w:tcBorders>
              <w:top w:val="nil"/>
              <w:left w:val="single" w:color="auto" w:sz="4" w:space="0"/>
              <w:bottom w:val="nil"/>
              <w:right w:val="nil"/>
            </w:tcBorders>
          </w:tcPr>
          <w:p>
            <w:pPr>
              <w:spacing w:line="300" w:lineRule="exact"/>
              <w:jc w:val="distribute"/>
              <w:textAlignment w:val="baseline"/>
              <w:rPr>
                <w:rFonts w:ascii="宋体" w:hAnsi="宋体" w:cs="宋体"/>
                <w:sz w:val="24"/>
              </w:rPr>
            </w:pPr>
            <w:r>
              <w:rPr>
                <w:rStyle w:val="26"/>
                <w:rFonts w:ascii="宋体" w:hAnsi="宋体"/>
                <w:sz w:val="24"/>
              </w:rPr>
              <w:t>电   话：</w:t>
            </w:r>
          </w:p>
        </w:tc>
        <w:tc>
          <w:tcPr>
            <w:tcW w:w="2678" w:type="dxa"/>
            <w:tcBorders>
              <w:top w:val="nil"/>
              <w:left w:val="nil"/>
              <w:bottom w:val="nil"/>
              <w:right w:val="single" w:color="auto" w:sz="4" w:space="0"/>
            </w:tcBorders>
          </w:tcPr>
          <w:p>
            <w:pPr>
              <w:spacing w:line="300" w:lineRule="exact"/>
              <w:jc w:val="left"/>
              <w:textAlignment w:val="baseline"/>
              <w:rPr>
                <w:sz w:val="24"/>
              </w:rPr>
            </w:pPr>
            <w:r>
              <w:rPr>
                <w:rStyle w:val="26"/>
                <w:rFonts w:ascii="宋体" w:hAnsi="宋体"/>
                <w:sz w:val="24"/>
              </w:rPr>
              <w:t>0561-3122593</w:t>
            </w:r>
          </w:p>
        </w:tc>
        <w:tc>
          <w:tcPr>
            <w:tcW w:w="1991" w:type="dxa"/>
            <w:tcBorders>
              <w:top w:val="nil"/>
              <w:left w:val="single" w:color="auto" w:sz="4" w:space="0"/>
              <w:bottom w:val="nil"/>
              <w:right w:val="nil"/>
            </w:tcBorders>
          </w:tcPr>
          <w:p>
            <w:pPr>
              <w:spacing w:line="300" w:lineRule="exact"/>
              <w:jc w:val="distribute"/>
              <w:rPr>
                <w:rFonts w:ascii="宋体" w:hAnsi="宋体" w:cs="宋体"/>
                <w:sz w:val="24"/>
              </w:rPr>
            </w:pPr>
            <w:r>
              <w:rPr>
                <w:rFonts w:hint="eastAsia" w:ascii="宋体" w:hAnsi="宋体" w:cs="宋体"/>
                <w:sz w:val="24"/>
              </w:rPr>
              <w:t>电   话：</w:t>
            </w:r>
          </w:p>
        </w:tc>
        <w:tc>
          <w:tcPr>
            <w:tcW w:w="2926" w:type="dxa"/>
            <w:tcBorders>
              <w:top w:val="nil"/>
              <w:left w:val="nil"/>
              <w:bottom w:val="nil"/>
              <w:right w:val="single" w:color="auto" w:sz="4" w:space="0"/>
            </w:tcBorders>
          </w:tcPr>
          <w:p>
            <w:pPr>
              <w:spacing w:line="300" w:lineRule="exact"/>
              <w:jc w:val="left"/>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1" w:type="dxa"/>
            <w:tcBorders>
              <w:top w:val="nil"/>
              <w:left w:val="single" w:color="auto" w:sz="4" w:space="0"/>
              <w:bottom w:val="nil"/>
              <w:right w:val="nil"/>
            </w:tcBorders>
          </w:tcPr>
          <w:p>
            <w:pPr>
              <w:spacing w:line="300" w:lineRule="exact"/>
              <w:jc w:val="distribute"/>
              <w:textAlignment w:val="baseline"/>
              <w:rPr>
                <w:rFonts w:ascii="宋体" w:hAnsi="宋体" w:cs="宋体"/>
                <w:sz w:val="24"/>
              </w:rPr>
            </w:pPr>
            <w:r>
              <w:rPr>
                <w:rStyle w:val="26"/>
                <w:rFonts w:ascii="宋体" w:hAnsi="宋体"/>
                <w:sz w:val="24"/>
              </w:rPr>
              <w:t>纳税人识别码：</w:t>
            </w:r>
          </w:p>
        </w:tc>
        <w:tc>
          <w:tcPr>
            <w:tcW w:w="2678" w:type="dxa"/>
            <w:tcBorders>
              <w:top w:val="nil"/>
              <w:left w:val="nil"/>
              <w:bottom w:val="nil"/>
              <w:right w:val="single" w:color="auto" w:sz="4" w:space="0"/>
            </w:tcBorders>
          </w:tcPr>
          <w:p>
            <w:pPr>
              <w:spacing w:line="300" w:lineRule="exact"/>
              <w:ind w:left="1560" w:hanging="1560"/>
              <w:jc w:val="left"/>
              <w:textAlignment w:val="baseline"/>
              <w:rPr>
                <w:rFonts w:ascii="宋体" w:hAnsi="宋体" w:cs="宋体"/>
                <w:sz w:val="24"/>
              </w:rPr>
            </w:pPr>
            <w:r>
              <w:rPr>
                <w:rStyle w:val="26"/>
                <w:rFonts w:ascii="宋体" w:hAnsi="宋体"/>
                <w:sz w:val="24"/>
              </w:rPr>
              <w:t>913400600MA2REJAJ27</w:t>
            </w:r>
          </w:p>
        </w:tc>
        <w:tc>
          <w:tcPr>
            <w:tcW w:w="1991" w:type="dxa"/>
            <w:tcBorders>
              <w:top w:val="nil"/>
              <w:left w:val="single" w:color="auto" w:sz="4" w:space="0"/>
              <w:bottom w:val="nil"/>
              <w:right w:val="nil"/>
            </w:tcBorders>
          </w:tcPr>
          <w:p>
            <w:pPr>
              <w:spacing w:line="300" w:lineRule="exact"/>
              <w:jc w:val="distribute"/>
              <w:rPr>
                <w:rFonts w:ascii="宋体" w:hAnsi="宋体" w:cs="宋体"/>
                <w:sz w:val="24"/>
              </w:rPr>
            </w:pPr>
            <w:r>
              <w:rPr>
                <w:rFonts w:hint="eastAsia" w:ascii="宋体" w:hAnsi="宋体" w:cs="宋体"/>
                <w:sz w:val="24"/>
              </w:rPr>
              <w:t>纳税人识别码：</w:t>
            </w:r>
          </w:p>
        </w:tc>
        <w:tc>
          <w:tcPr>
            <w:tcW w:w="2926" w:type="dxa"/>
            <w:tcBorders>
              <w:top w:val="nil"/>
              <w:left w:val="nil"/>
              <w:bottom w:val="nil"/>
              <w:right w:val="single" w:color="auto" w:sz="4" w:space="0"/>
            </w:tcBorders>
          </w:tcPr>
          <w:p>
            <w:pPr>
              <w:spacing w:line="300" w:lineRule="exact"/>
              <w:jc w:val="left"/>
              <w:rPr>
                <w:rFonts w:ascii="宋体" w:hAnsi="宋体" w:cs="宋体"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1" w:type="dxa"/>
            <w:tcBorders>
              <w:top w:val="nil"/>
              <w:left w:val="single" w:color="auto" w:sz="4" w:space="0"/>
              <w:bottom w:val="nil"/>
              <w:right w:val="nil"/>
            </w:tcBorders>
          </w:tcPr>
          <w:p>
            <w:pPr>
              <w:spacing w:line="300" w:lineRule="exact"/>
              <w:jc w:val="distribute"/>
              <w:textAlignment w:val="baseline"/>
              <w:rPr>
                <w:rFonts w:ascii="宋体" w:hAnsi="宋体" w:cs="宋体"/>
                <w:sz w:val="24"/>
              </w:rPr>
            </w:pPr>
            <w:r>
              <w:rPr>
                <w:rStyle w:val="26"/>
                <w:rFonts w:ascii="宋体" w:hAnsi="宋体"/>
                <w:sz w:val="24"/>
              </w:rPr>
              <w:t>开 户 银 行：</w:t>
            </w:r>
          </w:p>
        </w:tc>
        <w:tc>
          <w:tcPr>
            <w:tcW w:w="2678" w:type="dxa"/>
            <w:tcBorders>
              <w:top w:val="nil"/>
              <w:left w:val="nil"/>
              <w:bottom w:val="nil"/>
              <w:right w:val="single" w:color="auto" w:sz="4" w:space="0"/>
            </w:tcBorders>
          </w:tcPr>
          <w:p>
            <w:pPr>
              <w:spacing w:line="300" w:lineRule="exact"/>
              <w:ind w:left="1560" w:hanging="1560"/>
              <w:jc w:val="left"/>
              <w:textAlignment w:val="baseline"/>
              <w:rPr>
                <w:sz w:val="24"/>
              </w:rPr>
            </w:pPr>
            <w:r>
              <w:rPr>
                <w:rStyle w:val="26"/>
                <w:rFonts w:ascii="宋体" w:hAnsi="宋体"/>
                <w:sz w:val="24"/>
              </w:rPr>
              <w:t>徽商银行淮北相城支行</w:t>
            </w:r>
          </w:p>
        </w:tc>
        <w:tc>
          <w:tcPr>
            <w:tcW w:w="1991" w:type="dxa"/>
            <w:tcBorders>
              <w:top w:val="nil"/>
              <w:left w:val="single" w:color="auto" w:sz="4" w:space="0"/>
              <w:bottom w:val="nil"/>
              <w:right w:val="nil"/>
            </w:tcBorders>
          </w:tcPr>
          <w:p>
            <w:pPr>
              <w:spacing w:line="300" w:lineRule="exact"/>
              <w:jc w:val="distribute"/>
              <w:rPr>
                <w:rFonts w:ascii="宋体" w:hAnsi="宋体" w:cs="宋体"/>
                <w:sz w:val="24"/>
              </w:rPr>
            </w:pPr>
            <w:r>
              <w:rPr>
                <w:rFonts w:hint="eastAsia" w:ascii="宋体" w:hAnsi="宋体" w:cs="宋体"/>
                <w:sz w:val="24"/>
              </w:rPr>
              <w:t>开 户 银 行：</w:t>
            </w:r>
          </w:p>
        </w:tc>
        <w:tc>
          <w:tcPr>
            <w:tcW w:w="2926" w:type="dxa"/>
            <w:tcBorders>
              <w:top w:val="nil"/>
              <w:left w:val="nil"/>
              <w:bottom w:val="nil"/>
              <w:right w:val="single" w:color="auto" w:sz="4" w:space="0"/>
            </w:tcBorders>
          </w:tcPr>
          <w:p>
            <w:pP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1" w:type="dxa"/>
            <w:tcBorders>
              <w:top w:val="nil"/>
              <w:left w:val="single" w:color="auto" w:sz="4" w:space="0"/>
              <w:bottom w:val="nil"/>
              <w:right w:val="nil"/>
            </w:tcBorders>
          </w:tcPr>
          <w:p>
            <w:pPr>
              <w:spacing w:line="300" w:lineRule="exact"/>
              <w:jc w:val="distribute"/>
              <w:textAlignment w:val="baseline"/>
              <w:rPr>
                <w:rFonts w:ascii="宋体" w:hAnsi="宋体" w:cs="宋体"/>
                <w:sz w:val="24"/>
              </w:rPr>
            </w:pPr>
            <w:r>
              <w:rPr>
                <w:rStyle w:val="26"/>
                <w:rFonts w:ascii="宋体" w:hAnsi="宋体"/>
                <w:sz w:val="24"/>
              </w:rPr>
              <w:t>账       号：</w:t>
            </w:r>
          </w:p>
        </w:tc>
        <w:tc>
          <w:tcPr>
            <w:tcW w:w="2678" w:type="dxa"/>
            <w:tcBorders>
              <w:top w:val="nil"/>
              <w:left w:val="nil"/>
              <w:bottom w:val="nil"/>
              <w:right w:val="single" w:color="auto" w:sz="4" w:space="0"/>
            </w:tcBorders>
          </w:tcPr>
          <w:p>
            <w:pPr>
              <w:spacing w:line="300" w:lineRule="exact"/>
              <w:jc w:val="left"/>
              <w:textAlignment w:val="baseline"/>
              <w:rPr>
                <w:sz w:val="24"/>
              </w:rPr>
            </w:pPr>
            <w:r>
              <w:rPr>
                <w:rStyle w:val="26"/>
                <w:rFonts w:ascii="宋体" w:hAnsi="宋体"/>
                <w:sz w:val="24"/>
              </w:rPr>
              <w:t>1331301021000355909</w:t>
            </w:r>
          </w:p>
        </w:tc>
        <w:tc>
          <w:tcPr>
            <w:tcW w:w="1991" w:type="dxa"/>
            <w:tcBorders>
              <w:top w:val="nil"/>
              <w:left w:val="single" w:color="auto" w:sz="4" w:space="0"/>
              <w:bottom w:val="nil"/>
              <w:right w:val="nil"/>
            </w:tcBorders>
          </w:tcPr>
          <w:p>
            <w:pPr>
              <w:spacing w:line="300" w:lineRule="exact"/>
              <w:jc w:val="distribute"/>
              <w:rPr>
                <w:rFonts w:ascii="宋体" w:hAnsi="宋体" w:cs="宋体"/>
                <w:sz w:val="24"/>
              </w:rPr>
            </w:pPr>
            <w:r>
              <w:rPr>
                <w:rFonts w:hint="eastAsia" w:ascii="宋体" w:hAnsi="宋体" w:cs="宋体"/>
                <w:sz w:val="24"/>
              </w:rPr>
              <w:t>账       号：</w:t>
            </w:r>
          </w:p>
        </w:tc>
        <w:tc>
          <w:tcPr>
            <w:tcW w:w="2926" w:type="dxa"/>
            <w:tcBorders>
              <w:top w:val="nil"/>
              <w:left w:val="nil"/>
              <w:bottom w:val="nil"/>
              <w:right w:val="single" w:color="auto" w:sz="4" w:space="0"/>
            </w:tcBorders>
          </w:tcPr>
          <w:p>
            <w:pPr>
              <w:spacing w:line="300" w:lineRule="exact"/>
              <w:jc w:val="left"/>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1" w:type="dxa"/>
            <w:tcBorders>
              <w:top w:val="nil"/>
              <w:left w:val="single" w:color="auto" w:sz="4" w:space="0"/>
              <w:bottom w:val="single" w:color="auto" w:sz="4" w:space="0"/>
              <w:right w:val="nil"/>
            </w:tcBorders>
          </w:tcPr>
          <w:p>
            <w:pPr>
              <w:spacing w:line="300" w:lineRule="exact"/>
              <w:jc w:val="distribute"/>
              <w:textAlignment w:val="baseline"/>
              <w:rPr>
                <w:rFonts w:ascii="宋体" w:hAnsi="宋体" w:cs="宋体"/>
                <w:sz w:val="24"/>
              </w:rPr>
            </w:pPr>
            <w:r>
              <w:rPr>
                <w:rStyle w:val="26"/>
                <w:rFonts w:ascii="宋体" w:hAnsi="宋体"/>
                <w:sz w:val="24"/>
              </w:rPr>
              <w:t>邮 政 编 码：</w:t>
            </w:r>
          </w:p>
        </w:tc>
        <w:tc>
          <w:tcPr>
            <w:tcW w:w="2678" w:type="dxa"/>
            <w:tcBorders>
              <w:top w:val="nil"/>
              <w:left w:val="nil"/>
              <w:bottom w:val="single" w:color="auto" w:sz="4" w:space="0"/>
              <w:right w:val="single" w:color="auto" w:sz="4" w:space="0"/>
            </w:tcBorders>
          </w:tcPr>
          <w:p>
            <w:pPr>
              <w:spacing w:line="300" w:lineRule="exact"/>
              <w:jc w:val="left"/>
              <w:textAlignment w:val="baseline"/>
              <w:rPr>
                <w:rFonts w:ascii="宋体" w:hAnsi="宋体" w:cs="宋体" w:eastAsiaTheme="minorEastAsia"/>
                <w:sz w:val="24"/>
                <w:szCs w:val="22"/>
              </w:rPr>
            </w:pPr>
            <w:r>
              <w:rPr>
                <w:rStyle w:val="26"/>
                <w:rFonts w:ascii="宋体" w:hAnsi="宋体"/>
                <w:sz w:val="24"/>
              </w:rPr>
              <w:t>235000</w:t>
            </w:r>
          </w:p>
        </w:tc>
        <w:tc>
          <w:tcPr>
            <w:tcW w:w="1991" w:type="dxa"/>
            <w:tcBorders>
              <w:top w:val="nil"/>
              <w:left w:val="single" w:color="auto" w:sz="4" w:space="0"/>
              <w:bottom w:val="single" w:color="auto" w:sz="4" w:space="0"/>
              <w:right w:val="nil"/>
            </w:tcBorders>
          </w:tcPr>
          <w:p>
            <w:pPr>
              <w:spacing w:line="300" w:lineRule="exact"/>
              <w:jc w:val="distribute"/>
              <w:rPr>
                <w:rFonts w:ascii="宋体" w:hAnsi="宋体" w:cs="宋体"/>
                <w:sz w:val="24"/>
              </w:rPr>
            </w:pPr>
            <w:r>
              <w:rPr>
                <w:rFonts w:hint="eastAsia" w:ascii="宋体" w:hAnsi="宋体" w:cs="宋体"/>
                <w:sz w:val="24"/>
              </w:rPr>
              <w:t>邮 政 编 码：</w:t>
            </w:r>
          </w:p>
        </w:tc>
        <w:tc>
          <w:tcPr>
            <w:tcW w:w="2926" w:type="dxa"/>
            <w:tcBorders>
              <w:top w:val="nil"/>
              <w:left w:val="nil"/>
              <w:bottom w:val="single" w:color="auto" w:sz="4" w:space="0"/>
              <w:right w:val="single" w:color="auto" w:sz="4" w:space="0"/>
            </w:tcBorders>
          </w:tcPr>
          <w:p>
            <w:pPr>
              <w:spacing w:line="300" w:lineRule="exact"/>
              <w:jc w:val="left"/>
              <w:rPr>
                <w:rFonts w:ascii="宋体" w:hAnsi="宋体" w:cs="宋体"/>
                <w:sz w:val="24"/>
              </w:rPr>
            </w:pPr>
          </w:p>
        </w:tc>
      </w:tr>
    </w:tbl>
    <w:p>
      <w:pPr>
        <w:ind w:firstLine="120" w:firstLineChars="5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                               </w:t>
      </w:r>
    </w:p>
    <w:p>
      <w:pPr>
        <w:ind w:firstLine="3720" w:firstLineChars="155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    </w:t>
      </w:r>
      <w:r>
        <w:rPr>
          <w:rFonts w:hint="eastAsia" w:ascii="宋体" w:hAnsi="宋体" w:cs="宋体"/>
          <w:sz w:val="24"/>
        </w:rPr>
        <w:t>签订日期：  2023年  月  日</w:t>
      </w:r>
    </w:p>
    <w:p>
      <w:pPr>
        <w:pStyle w:val="7"/>
      </w:pPr>
    </w:p>
    <w:p>
      <w:pPr>
        <w:pStyle w:val="18"/>
        <w:ind w:firstLine="0" w:firstLineChars="0"/>
        <w:rPr>
          <w:b/>
          <w:bCs/>
        </w:rPr>
      </w:pPr>
    </w:p>
    <w:p>
      <w:pPr>
        <w:pStyle w:val="18"/>
        <w:ind w:firstLine="0" w:firstLineChars="0"/>
        <w:rPr>
          <w:b/>
          <w:bCs/>
        </w:rPr>
      </w:pPr>
    </w:p>
    <w:p>
      <w:pPr>
        <w:pStyle w:val="18"/>
        <w:ind w:firstLine="0" w:firstLineChars="0"/>
        <w:rPr>
          <w:b/>
          <w:bCs/>
        </w:rPr>
      </w:pPr>
    </w:p>
    <w:p>
      <w:pPr>
        <w:pStyle w:val="18"/>
        <w:spacing w:line="360" w:lineRule="exact"/>
        <w:ind w:firstLine="0" w:firstLineChars="0"/>
        <w:rPr>
          <w:rFonts w:ascii="宋体" w:hAnsi="宋体" w:cs="宋体"/>
          <w:sz w:val="32"/>
        </w:rPr>
      </w:pPr>
    </w:p>
    <w:p>
      <w:pPr>
        <w:pStyle w:val="18"/>
        <w:ind w:firstLine="0" w:firstLineChars="0"/>
      </w:pPr>
    </w:p>
    <w:p>
      <w:pPr>
        <w:pStyle w:val="18"/>
        <w:ind w:firstLine="0" w:firstLineChars="0"/>
        <w:rPr>
          <w:b/>
          <w:bCs/>
        </w:rPr>
      </w:pPr>
    </w:p>
    <w:p>
      <w:pPr>
        <w:pStyle w:val="18"/>
        <w:ind w:firstLine="0" w:firstLineChars="0"/>
        <w:rPr>
          <w:b/>
          <w:bCs/>
        </w:rPr>
      </w:pPr>
    </w:p>
    <w:p>
      <w:pPr>
        <w:pStyle w:val="18"/>
        <w:ind w:firstLine="0" w:firstLineChars="0"/>
        <w:rPr>
          <w:b/>
          <w:bCs/>
        </w:rPr>
      </w:pPr>
    </w:p>
    <w:p>
      <w:pPr>
        <w:pStyle w:val="18"/>
        <w:ind w:firstLine="0" w:firstLineChars="0"/>
        <w:rPr>
          <w:b/>
          <w:bCs/>
        </w:rPr>
      </w:pPr>
    </w:p>
    <w:p>
      <w:pPr>
        <w:pStyle w:val="18"/>
        <w:ind w:firstLine="0" w:firstLineChars="0"/>
        <w:rPr>
          <w:b/>
          <w:bCs/>
        </w:rPr>
      </w:pPr>
    </w:p>
    <w:p>
      <w:pPr>
        <w:pStyle w:val="18"/>
        <w:ind w:firstLine="0" w:firstLineChars="0"/>
        <w:rPr>
          <w:b/>
          <w:bCs/>
        </w:rPr>
      </w:pPr>
    </w:p>
    <w:p>
      <w:pPr>
        <w:pStyle w:val="18"/>
        <w:ind w:firstLine="0" w:firstLineChars="0"/>
        <w:rPr>
          <w:rFonts w:ascii="黑体" w:hAnsi="黑体" w:eastAsia="黑体" w:cs="黑体"/>
          <w:b/>
          <w:bCs/>
          <w:sz w:val="40"/>
          <w:szCs w:val="40"/>
        </w:rPr>
      </w:pPr>
      <w:r>
        <w:rPr>
          <w:rFonts w:hint="eastAsia"/>
          <w:b/>
          <w:bCs/>
        </w:rPr>
        <w:t>附件：法定代表人授权委托书</w:t>
      </w:r>
    </w:p>
    <w:p>
      <w:pPr>
        <w:spacing w:line="360" w:lineRule="auto"/>
        <w:ind w:firstLine="2008" w:firstLineChars="500"/>
        <w:rPr>
          <w:rFonts w:ascii="黑体" w:hAnsi="黑体" w:eastAsia="黑体" w:cs="黑体"/>
          <w:b/>
          <w:bCs/>
          <w:sz w:val="40"/>
          <w:szCs w:val="40"/>
        </w:rPr>
      </w:pPr>
      <w:r>
        <w:rPr>
          <w:rFonts w:hint="eastAsia" w:ascii="黑体" w:hAnsi="黑体" w:eastAsia="黑体" w:cs="黑体"/>
          <w:b/>
          <w:bCs/>
          <w:sz w:val="40"/>
          <w:szCs w:val="40"/>
        </w:rPr>
        <w:t>法定代表人授权委托书</w:t>
      </w:r>
    </w:p>
    <w:p>
      <w:pPr>
        <w:spacing w:line="360" w:lineRule="auto"/>
        <w:rPr>
          <w:rFonts w:ascii="宋体" w:hAnsi="宋体" w:cs="宋体"/>
          <w:sz w:val="24"/>
        </w:rPr>
      </w:pPr>
    </w:p>
    <w:p>
      <w:pPr>
        <w:adjustRightInd w:val="0"/>
        <w:snapToGrid w:val="0"/>
        <w:spacing w:line="360" w:lineRule="auto"/>
        <w:rPr>
          <w:rFonts w:ascii="宋体" w:hAnsi="宋体" w:cs="宋体"/>
          <w:sz w:val="24"/>
          <w:u w:val="single"/>
        </w:rPr>
      </w:pPr>
      <w:r>
        <w:rPr>
          <w:rFonts w:hint="eastAsia" w:ascii="宋体" w:hAnsi="宋体" w:cs="宋体"/>
          <w:sz w:val="24"/>
        </w:rPr>
        <w:t>致：</w:t>
      </w:r>
      <w:r>
        <w:rPr>
          <w:rFonts w:hint="eastAsia" w:ascii="宋体" w:hAnsi="宋体" w:cs="宋体"/>
          <w:sz w:val="24"/>
          <w:u w:val="single"/>
        </w:rPr>
        <w:t xml:space="preserve"> </w:t>
      </w:r>
      <w:r>
        <w:rPr>
          <w:rFonts w:hint="eastAsia" w:ascii="宋体" w:hAnsi="宋体" w:cs="宋体"/>
          <w:b/>
          <w:bCs/>
          <w:sz w:val="24"/>
          <w:u w:val="single"/>
        </w:rPr>
        <w:t xml:space="preserve">          </w:t>
      </w:r>
    </w:p>
    <w:p>
      <w:pPr>
        <w:tabs>
          <w:tab w:val="left" w:pos="1680"/>
          <w:tab w:val="left" w:pos="4215"/>
          <w:tab w:val="left" w:pos="4305"/>
          <w:tab w:val="left" w:pos="8000"/>
        </w:tabs>
        <w:autoSpaceDE w:val="0"/>
        <w:autoSpaceDN w:val="0"/>
        <w:adjustRightInd w:val="0"/>
        <w:snapToGrid w:val="0"/>
        <w:spacing w:line="360" w:lineRule="auto"/>
        <w:ind w:firstLine="480" w:firstLineChars="200"/>
        <w:rPr>
          <w:rFonts w:ascii="宋体" w:hAnsi="宋体" w:cs="宋体"/>
          <w:sz w:val="24"/>
        </w:rPr>
      </w:pPr>
      <w:r>
        <w:rPr>
          <w:rFonts w:hint="eastAsia" w:ascii="宋体" w:hAnsi="宋体" w:cs="宋体"/>
          <w:sz w:val="24"/>
        </w:rPr>
        <w:t>本授权书宣告：</w:t>
      </w:r>
      <w:r>
        <w:rPr>
          <w:rFonts w:hint="eastAsia" w:ascii="宋体" w:hAnsi="宋体" w:cs="宋体"/>
          <w:sz w:val="24"/>
          <w:u w:val="single"/>
        </w:rPr>
        <w:t xml:space="preserve">                </w:t>
      </w:r>
      <w:r>
        <w:rPr>
          <w:rFonts w:hint="eastAsia" w:ascii="宋体" w:hAnsi="宋体" w:cs="宋体"/>
          <w:sz w:val="24"/>
        </w:rPr>
        <w:t>（</w:t>
      </w:r>
      <w:r>
        <w:rPr>
          <w:rFonts w:hint="eastAsia" w:ascii="宋体" w:hAnsi="宋体" w:cs="宋体"/>
          <w:spacing w:val="-1"/>
          <w:sz w:val="24"/>
        </w:rPr>
        <w:t>投</w:t>
      </w:r>
      <w:r>
        <w:rPr>
          <w:rFonts w:hint="eastAsia" w:ascii="宋体" w:hAnsi="宋体" w:cs="宋体"/>
          <w:sz w:val="24"/>
        </w:rPr>
        <w:t>标人名称</w:t>
      </w:r>
      <w:r>
        <w:rPr>
          <w:rFonts w:hint="eastAsia" w:ascii="宋体" w:hAnsi="宋体" w:cs="宋体"/>
          <w:spacing w:val="1"/>
          <w:sz w:val="24"/>
        </w:rPr>
        <w:t>）</w:t>
      </w:r>
      <w:r>
        <w:rPr>
          <w:rFonts w:hint="eastAsia" w:ascii="宋体" w:hAnsi="宋体" w:cs="宋体"/>
          <w:sz w:val="24"/>
        </w:rPr>
        <w:t>的</w:t>
      </w:r>
      <w:r>
        <w:rPr>
          <w:rFonts w:hint="eastAsia" w:ascii="宋体" w:hAnsi="宋体" w:cs="宋体"/>
          <w:b/>
          <w:bCs/>
          <w:sz w:val="24"/>
          <w:u w:val="single"/>
        </w:rPr>
        <w:t xml:space="preserve">       </w:t>
      </w:r>
      <w:r>
        <w:rPr>
          <w:rFonts w:hint="eastAsia" w:ascii="宋体" w:hAnsi="宋体" w:cs="宋体"/>
          <w:sz w:val="24"/>
        </w:rPr>
        <w:t>（职务）（姓名）合法地代表我单位，授权</w:t>
      </w:r>
      <w:r>
        <w:rPr>
          <w:rFonts w:hint="eastAsia" w:ascii="宋体" w:hAnsi="宋体" w:cs="宋体"/>
          <w:w w:val="200"/>
          <w:sz w:val="24"/>
          <w:u w:val="single"/>
        </w:rPr>
        <w:t xml:space="preserve">   </w:t>
      </w:r>
      <w:r>
        <w:rPr>
          <w:rFonts w:hint="eastAsia" w:ascii="宋体" w:hAnsi="宋体" w:cs="宋体"/>
          <w:sz w:val="24"/>
          <w:u w:val="single"/>
        </w:rPr>
        <w:t xml:space="preserve">  </w:t>
      </w:r>
      <w:r>
        <w:rPr>
          <w:rFonts w:hint="eastAsia" w:ascii="宋体" w:hAnsi="宋体" w:cs="宋体"/>
          <w:sz w:val="24"/>
        </w:rPr>
        <w:t>（职务）（姓名）为我方代理人。该代理人有权在</w:t>
      </w:r>
      <w:r>
        <w:rPr>
          <w:rFonts w:hint="eastAsia" w:ascii="宋体" w:hAnsi="宋体" w:cs="宋体"/>
          <w:sz w:val="24"/>
          <w:u w:val="single"/>
        </w:rPr>
        <w:t xml:space="preserve">                         投</w:t>
      </w:r>
      <w:r>
        <w:rPr>
          <w:rFonts w:hint="eastAsia" w:ascii="宋体" w:hAnsi="宋体" w:cs="宋体"/>
          <w:sz w:val="24"/>
        </w:rPr>
        <w:t>标活动中，以我单位的名义与招标人协商、签订合同书以及执行一切与此有关的事项。</w:t>
      </w:r>
    </w:p>
    <w:p>
      <w:pPr>
        <w:pStyle w:val="14"/>
        <w:spacing w:line="360" w:lineRule="auto"/>
        <w:ind w:firstLine="0" w:firstLineChars="0"/>
        <w:rPr>
          <w:rFonts w:ascii="宋体" w:hAnsi="宋体" w:cs="宋体"/>
          <w:sz w:val="24"/>
        </w:rPr>
      </w:pPr>
      <w:r>
        <w:rPr>
          <w:rFonts w:ascii="宋体" w:hAnsi="宋体" w:cs="宋体"/>
          <w:sz w:val="24"/>
        </w:rPr>
        <mc:AlternateContent>
          <mc:Choice Requires="wps">
            <w:drawing>
              <wp:anchor distT="0" distB="0" distL="114300" distR="114300" simplePos="0" relativeHeight="251661312" behindDoc="0" locked="0" layoutInCell="1" allowOverlap="1">
                <wp:simplePos x="0" y="0"/>
                <wp:positionH relativeFrom="column">
                  <wp:posOffset>2732405</wp:posOffset>
                </wp:positionH>
                <wp:positionV relativeFrom="paragraph">
                  <wp:posOffset>29845</wp:posOffset>
                </wp:positionV>
                <wp:extent cx="3092450" cy="2082800"/>
                <wp:effectExtent l="15875" t="15875" r="15875" b="15875"/>
                <wp:wrapNone/>
                <wp:docPr id="3" name="圆角矩形 3"/>
                <wp:cNvGraphicFramePr/>
                <a:graphic xmlns:a="http://schemas.openxmlformats.org/drawingml/2006/main">
                  <a:graphicData uri="http://schemas.microsoft.com/office/word/2010/wordprocessingShape">
                    <wps:wsp>
                      <wps:cNvSpPr/>
                      <wps:spPr>
                        <a:xfrm>
                          <a:off x="0" y="0"/>
                          <a:ext cx="3092450" cy="2082800"/>
                        </a:xfrm>
                        <a:prstGeom prst="roundRect">
                          <a:avLst>
                            <a:gd name="adj" fmla="val 16667"/>
                          </a:avLst>
                        </a:prstGeom>
                        <a:solidFill>
                          <a:srgbClr val="FFFFFF"/>
                        </a:solidFill>
                        <a:ln w="31750" cap="flat" cmpd="sng">
                          <a:solidFill>
                            <a:srgbClr val="000000"/>
                          </a:solidFill>
                          <a:prstDash val="solid"/>
                          <a:headEnd type="none" w="med" len="med"/>
                          <a:tailEnd type="none" w="med" len="med"/>
                        </a:ln>
                      </wps:spPr>
                      <wps:bodyPr upright="1"/>
                    </wps:wsp>
                  </a:graphicData>
                </a:graphic>
              </wp:anchor>
            </w:drawing>
          </mc:Choice>
          <mc:Fallback>
            <w:pict>
              <v:roundrect id="_x0000_s1026" o:spid="_x0000_s1026" o:spt="2" style="position:absolute;left:0pt;margin-left:215.15pt;margin-top:2.35pt;height:164pt;width:243.5pt;z-index:251661312;mso-width-relative:page;mso-height-relative:page;" fillcolor="#FFFFFF" filled="t" stroked="t" coordsize="21600,21600" arcsize="0.166666666666667" o:gfxdata="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ASEGU+2AAA&#10;AAkBAAAPAAAAAAAAAAEAIAAAACIAAABkcnMvZG93bnJldi54bWxQSwECFAAUAAAACACHTuJARyQI&#10;Tx4CAABNBAAADgAAAAAAAAABACAAAAAnAQAAZHJzL2Uyb0RvYy54bWxQSwUGAAAAAAYABgBZAQAA&#10;twUAAAAA&#10;">
                <v:fill on="t" focussize="0,0"/>
                <v:stroke weight="2.5pt" color="#000000" joinstyle="round"/>
                <v:imagedata o:title=""/>
                <o:lock v:ext="edit" aspectratio="f"/>
              </v:roundrect>
            </w:pict>
          </mc:Fallback>
        </mc:AlternateContent>
      </w:r>
      <w:r>
        <w:rPr>
          <w:rFonts w:ascii="宋体" w:hAnsi="宋体" w:cs="宋体"/>
          <w:sz w:val="24"/>
        </w:rPr>
        <mc:AlternateContent>
          <mc:Choice Requires="wps">
            <w:drawing>
              <wp:anchor distT="0" distB="0" distL="114300" distR="114300" simplePos="0" relativeHeight="251660288" behindDoc="0" locked="0" layoutInCell="1" allowOverlap="1">
                <wp:simplePos x="0" y="0"/>
                <wp:positionH relativeFrom="column">
                  <wp:posOffset>-429895</wp:posOffset>
                </wp:positionH>
                <wp:positionV relativeFrom="paragraph">
                  <wp:posOffset>55245</wp:posOffset>
                </wp:positionV>
                <wp:extent cx="3054350" cy="2038350"/>
                <wp:effectExtent l="15875" t="15875" r="15875" b="22225"/>
                <wp:wrapNone/>
                <wp:docPr id="2" name="圆角矩形 2"/>
                <wp:cNvGraphicFramePr/>
                <a:graphic xmlns:a="http://schemas.openxmlformats.org/drawingml/2006/main">
                  <a:graphicData uri="http://schemas.microsoft.com/office/word/2010/wordprocessingShape">
                    <wps:wsp>
                      <wps:cNvSpPr/>
                      <wps:spPr>
                        <a:xfrm>
                          <a:off x="0" y="0"/>
                          <a:ext cx="3054350" cy="2038350"/>
                        </a:xfrm>
                        <a:prstGeom prst="roundRect">
                          <a:avLst>
                            <a:gd name="adj" fmla="val 16667"/>
                          </a:avLst>
                        </a:prstGeom>
                        <a:solidFill>
                          <a:srgbClr val="FFFFFF"/>
                        </a:solidFill>
                        <a:ln w="31750" cap="flat" cmpd="sng">
                          <a:solidFill>
                            <a:srgbClr val="000000"/>
                          </a:solidFill>
                          <a:prstDash val="solid"/>
                          <a:headEnd type="none" w="med" len="med"/>
                          <a:tailEnd type="none" w="med" len="med"/>
                        </a:ln>
                      </wps:spPr>
                      <wps:txbx>
                        <w:txbxContent>
                          <w:p/>
                          <w:p/>
                          <w:p/>
                          <w:p/>
                          <w:p/>
                          <w:p/>
                          <w:p>
                            <w:pPr>
                              <w:ind w:firstLine="1470" w:firstLineChars="700"/>
                            </w:pPr>
                            <w:r>
                              <w:rPr>
                                <w:rFonts w:hint="eastAsia"/>
                              </w:rPr>
                              <w:t>身份证复印件</w:t>
                            </w:r>
                          </w:p>
                        </w:txbxContent>
                      </wps:txbx>
                      <wps:bodyPr upright="1"/>
                    </wps:wsp>
                  </a:graphicData>
                </a:graphic>
              </wp:anchor>
            </w:drawing>
          </mc:Choice>
          <mc:Fallback>
            <w:pict>
              <v:roundrect id="_x0000_s1026" o:spid="_x0000_s1026" o:spt="2" style="position:absolute;left:0pt;margin-left:-33.85pt;margin-top:4.35pt;height:160.5pt;width:240.5pt;z-index:251660288;mso-width-relative:page;mso-height-relative:page;" fillcolor="#FFFFFF" filled="t" stroked="t" coordsize="21600,21600" arcsize="0.166666666666667" o:gfxdata="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T1J9&#10;8NkAAAAJAQAADwAAAAAAAAABACAAAAAiAAAAZHJzL2Rvd25yZXYueG1sUEsBAhQAFAAAAAgAh07i&#10;QBHo+5AhAgAAWAQAAA4AAAAAAAAAAQAgAAAAKAEAAGRycy9lMm9Eb2MueG1sUEsFBgAAAAAGAAYA&#10;WQEAALsFAAAAAA==&#10;">
                <v:fill on="t" focussize="0,0"/>
                <v:stroke weight="2.5pt" color="#000000" joinstyle="round"/>
                <v:imagedata o:title=""/>
                <o:lock v:ext="edit" aspectratio="f"/>
                <v:textbox>
                  <w:txbxContent>
                    <w:p/>
                    <w:p/>
                    <w:p/>
                    <w:p/>
                    <w:p/>
                    <w:p/>
                    <w:p>
                      <w:pPr>
                        <w:ind w:firstLine="1470" w:firstLineChars="700"/>
                      </w:pPr>
                      <w:r>
                        <w:rPr>
                          <w:rFonts w:hint="eastAsia"/>
                        </w:rPr>
                        <w:t>身份证复印件</w:t>
                      </w:r>
                    </w:p>
                  </w:txbxContent>
                </v:textbox>
              </v:roundrect>
            </w:pict>
          </mc:Fallback>
        </mc:AlternateContent>
      </w:r>
      <w:r>
        <w:rPr>
          <w:rFonts w:hint="eastAsia" w:ascii="宋体" w:hAnsi="宋体" w:cs="宋体"/>
          <w:sz w:val="24"/>
        </w:rPr>
        <w:t xml:space="preserve">  </w:t>
      </w:r>
    </w:p>
    <w:p>
      <w:pPr>
        <w:tabs>
          <w:tab w:val="left" w:pos="1680"/>
          <w:tab w:val="left" w:pos="4215"/>
          <w:tab w:val="left" w:pos="4305"/>
          <w:tab w:val="left" w:pos="8000"/>
        </w:tabs>
        <w:autoSpaceDE w:val="0"/>
        <w:autoSpaceDN w:val="0"/>
        <w:adjustRightInd w:val="0"/>
        <w:snapToGrid w:val="0"/>
        <w:spacing w:line="360" w:lineRule="auto"/>
        <w:rPr>
          <w:rFonts w:ascii="宋体" w:hAnsi="宋体" w:cs="宋体"/>
          <w:sz w:val="24"/>
        </w:rPr>
      </w:pPr>
    </w:p>
    <w:p>
      <w:pPr>
        <w:pStyle w:val="14"/>
        <w:ind w:firstLine="560"/>
      </w:pPr>
    </w:p>
    <w:p>
      <w:pPr>
        <w:pStyle w:val="14"/>
        <w:ind w:firstLine="560"/>
      </w:pPr>
    </w:p>
    <w:p>
      <w:pPr>
        <w:pStyle w:val="14"/>
        <w:ind w:firstLine="560"/>
      </w:pPr>
    </w:p>
    <w:p>
      <w:pPr>
        <w:pStyle w:val="14"/>
        <w:ind w:firstLine="560"/>
      </w:pPr>
    </w:p>
    <w:p>
      <w:pPr>
        <w:pStyle w:val="14"/>
        <w:ind w:firstLine="560"/>
      </w:pPr>
    </w:p>
    <w:p>
      <w:pPr>
        <w:tabs>
          <w:tab w:val="left" w:pos="1680"/>
          <w:tab w:val="left" w:pos="4215"/>
          <w:tab w:val="left" w:pos="4305"/>
          <w:tab w:val="left" w:pos="8000"/>
        </w:tabs>
        <w:autoSpaceDE w:val="0"/>
        <w:autoSpaceDN w:val="0"/>
        <w:adjustRightInd w:val="0"/>
        <w:snapToGrid w:val="0"/>
        <w:spacing w:line="360" w:lineRule="auto"/>
        <w:rPr>
          <w:rFonts w:ascii="宋体" w:hAnsi="宋体" w:cs="宋体"/>
          <w:sz w:val="24"/>
        </w:rPr>
      </w:pPr>
    </w:p>
    <w:p>
      <w:pPr>
        <w:spacing w:line="360" w:lineRule="auto"/>
        <w:ind w:firstLine="4080" w:firstLineChars="1700"/>
        <w:rPr>
          <w:rFonts w:ascii="宋体" w:hAnsi="宋体" w:cs="宋体"/>
          <w:color w:val="000000"/>
          <w:sz w:val="24"/>
          <w:lang w:bidi="ar"/>
        </w:rPr>
      </w:pPr>
    </w:p>
    <w:p>
      <w:pPr>
        <w:spacing w:line="360" w:lineRule="auto"/>
        <w:ind w:firstLine="4080" w:firstLineChars="1700"/>
        <w:rPr>
          <w:rFonts w:ascii="宋体" w:hAnsi="宋体" w:cs="宋体"/>
          <w:color w:val="000000"/>
          <w:sz w:val="24"/>
          <w:lang w:bidi="ar"/>
        </w:rPr>
      </w:pPr>
    </w:p>
    <w:p>
      <w:pPr>
        <w:spacing w:line="360" w:lineRule="auto"/>
        <w:ind w:firstLine="4080" w:firstLineChars="1700"/>
        <w:rPr>
          <w:rFonts w:ascii="宋体" w:hAnsi="宋体" w:cs="宋体"/>
          <w:color w:val="000000"/>
          <w:sz w:val="24"/>
          <w:u w:val="single"/>
          <w:lang w:bidi="ar"/>
        </w:rPr>
      </w:pPr>
      <w:r>
        <w:rPr>
          <w:rFonts w:hint="eastAsia" w:ascii="宋体" w:hAnsi="宋体" w:cs="宋体"/>
          <w:color w:val="000000"/>
          <w:sz w:val="24"/>
          <w:lang w:bidi="ar"/>
        </w:rPr>
        <w:t>投标人(盖章)：</w:t>
      </w:r>
      <w:r>
        <w:rPr>
          <w:rFonts w:hint="eastAsia" w:ascii="宋体" w:hAnsi="宋体" w:cs="宋体"/>
          <w:color w:val="000000"/>
          <w:sz w:val="24"/>
          <w:u w:val="single"/>
          <w:lang w:bidi="ar"/>
        </w:rPr>
        <w:t xml:space="preserve">                     </w:t>
      </w:r>
    </w:p>
    <w:p>
      <w:pPr>
        <w:spacing w:line="360" w:lineRule="auto"/>
        <w:ind w:firstLine="4080" w:firstLineChars="1700"/>
        <w:rPr>
          <w:rFonts w:ascii="宋体" w:hAnsi="宋体" w:cs="宋体"/>
          <w:color w:val="000000"/>
          <w:sz w:val="24"/>
          <w:u w:val="single"/>
          <w:lang w:bidi="ar"/>
        </w:rPr>
      </w:pPr>
      <w:r>
        <w:rPr>
          <w:rFonts w:hint="eastAsia" w:ascii="宋体" w:hAnsi="宋体" w:cs="宋体"/>
          <w:color w:val="000000"/>
          <w:sz w:val="24"/>
          <w:lang w:bidi="ar"/>
        </w:rPr>
        <w:t>投标人地址：</w:t>
      </w:r>
      <w:r>
        <w:rPr>
          <w:rFonts w:hint="eastAsia" w:ascii="宋体" w:hAnsi="宋体" w:cs="宋体"/>
          <w:color w:val="000000"/>
          <w:sz w:val="24"/>
          <w:u w:val="single"/>
          <w:lang w:bidi="ar"/>
        </w:rPr>
        <w:t xml:space="preserve">                       </w:t>
      </w:r>
    </w:p>
    <w:p>
      <w:pPr>
        <w:spacing w:line="360" w:lineRule="auto"/>
        <w:ind w:firstLine="4080" w:firstLineChars="1700"/>
        <w:rPr>
          <w:rFonts w:ascii="宋体" w:hAnsi="宋体" w:cs="宋体"/>
          <w:color w:val="000000"/>
          <w:sz w:val="24"/>
          <w:u w:val="single"/>
          <w:lang w:bidi="ar"/>
        </w:rPr>
      </w:pPr>
      <w:r>
        <w:rPr>
          <w:rFonts w:hint="eastAsia" w:ascii="宋体" w:hAnsi="宋体" w:cs="宋体"/>
          <w:color w:val="000000"/>
          <w:sz w:val="24"/>
          <w:lang w:bidi="ar"/>
        </w:rPr>
        <w:t>法定代表人 (签字)：</w:t>
      </w:r>
      <w:r>
        <w:rPr>
          <w:rFonts w:hint="eastAsia" w:ascii="宋体" w:hAnsi="宋体" w:cs="宋体"/>
          <w:color w:val="000000"/>
          <w:sz w:val="24"/>
          <w:u w:val="single"/>
          <w:lang w:bidi="ar"/>
        </w:rPr>
        <w:t xml:space="preserve">                     </w:t>
      </w:r>
    </w:p>
    <w:p>
      <w:pPr>
        <w:pStyle w:val="14"/>
        <w:spacing w:line="360" w:lineRule="auto"/>
        <w:ind w:firstLine="0" w:firstLineChars="0"/>
        <w:rPr>
          <w:lang w:bidi="ar"/>
        </w:rPr>
      </w:pPr>
    </w:p>
    <w:p>
      <w:pPr>
        <w:spacing w:line="360" w:lineRule="auto"/>
        <w:ind w:firstLine="4080" w:firstLineChars="1700"/>
        <w:rPr>
          <w:rFonts w:ascii="宋体" w:hAnsi="宋体" w:cs="宋体"/>
          <w:color w:val="000000"/>
          <w:sz w:val="24"/>
          <w:u w:val="single"/>
          <w:lang w:bidi="ar"/>
        </w:rPr>
      </w:pPr>
      <w:r>
        <w:rPr>
          <w:rFonts w:hint="eastAsia" w:ascii="宋体" w:hAnsi="宋体" w:cs="宋体"/>
          <w:color w:val="000000"/>
          <w:sz w:val="24"/>
          <w:lang w:bidi="ar"/>
        </w:rPr>
        <w:t>被授权的代理人 (签字)：</w:t>
      </w:r>
      <w:r>
        <w:rPr>
          <w:rFonts w:hint="eastAsia" w:ascii="宋体" w:hAnsi="宋体" w:cs="宋体"/>
          <w:color w:val="000000"/>
          <w:sz w:val="24"/>
          <w:u w:val="single"/>
          <w:lang w:bidi="ar"/>
        </w:rPr>
        <w:t xml:space="preserve">                   </w:t>
      </w:r>
    </w:p>
    <w:p>
      <w:pPr>
        <w:spacing w:line="360" w:lineRule="auto"/>
        <w:ind w:firstLine="4080" w:firstLineChars="1700"/>
        <w:rPr>
          <w:rFonts w:ascii="宋体" w:hAnsi="宋体" w:cs="宋体"/>
          <w:color w:val="000000"/>
          <w:sz w:val="24"/>
          <w:u w:val="single"/>
          <w:lang w:bidi="ar"/>
        </w:rPr>
      </w:pPr>
      <w:r>
        <w:rPr>
          <w:rFonts w:hint="eastAsia" w:ascii="宋体" w:hAnsi="宋体" w:cs="宋体"/>
          <w:color w:val="000000"/>
          <w:sz w:val="24"/>
          <w:lang w:bidi="ar"/>
        </w:rPr>
        <w:t>被授权的代理人身份证号码：</w:t>
      </w:r>
      <w:r>
        <w:rPr>
          <w:rFonts w:hint="eastAsia" w:ascii="宋体" w:hAnsi="宋体" w:cs="宋体"/>
          <w:color w:val="000000"/>
          <w:sz w:val="24"/>
          <w:u w:val="single"/>
          <w:lang w:bidi="ar"/>
        </w:rPr>
        <w:t xml:space="preserve">                </w:t>
      </w:r>
    </w:p>
    <w:p>
      <w:pPr>
        <w:spacing w:line="360" w:lineRule="auto"/>
        <w:rPr>
          <w:rFonts w:ascii="宋体" w:hAnsi="宋体" w:cs="宋体"/>
          <w:color w:val="000000"/>
          <w:sz w:val="24"/>
          <w:lang w:bidi="ar"/>
        </w:rPr>
      </w:pPr>
    </w:p>
    <w:p>
      <w:pPr>
        <w:spacing w:line="360" w:lineRule="auto"/>
        <w:rPr>
          <w:rFonts w:ascii="宋体" w:hAnsi="宋体" w:cs="宋体"/>
          <w:color w:val="000000"/>
          <w:sz w:val="24"/>
          <w:lang w:bidi="ar"/>
        </w:rPr>
      </w:pPr>
    </w:p>
    <w:p>
      <w:pPr>
        <w:spacing w:line="360" w:lineRule="auto"/>
        <w:ind w:firstLine="5040" w:firstLineChars="2100"/>
      </w:pPr>
      <w:r>
        <w:rPr>
          <w:rFonts w:hint="eastAsia" w:ascii="宋体" w:hAnsi="宋体" w:cs="宋体"/>
          <w:color w:val="000000"/>
          <w:sz w:val="24"/>
          <w:lang w:bidi="ar"/>
        </w:rPr>
        <w:t xml:space="preserve">日期：   年    月   日  </w:t>
      </w:r>
    </w:p>
    <w:p>
      <w:pPr>
        <w:tabs>
          <w:tab w:val="left" w:pos="1680"/>
          <w:tab w:val="left" w:pos="4215"/>
          <w:tab w:val="left" w:pos="4305"/>
          <w:tab w:val="left" w:pos="8000"/>
        </w:tabs>
        <w:autoSpaceDE w:val="0"/>
        <w:autoSpaceDN w:val="0"/>
        <w:adjustRightInd w:val="0"/>
        <w:snapToGrid w:val="0"/>
        <w:spacing w:line="360" w:lineRule="auto"/>
        <w:ind w:firstLine="480" w:firstLineChars="200"/>
        <w:rPr>
          <w:rFonts w:ascii="宋体" w:hAnsi="宋体" w:cs="宋体"/>
          <w:sz w:val="24"/>
        </w:rPr>
      </w:pPr>
    </w:p>
    <w:p/>
    <w:p/>
    <w:p>
      <w:pPr>
        <w:pStyle w:val="18"/>
        <w:ind w:firstLine="0" w:firstLineChars="0"/>
      </w:pPr>
      <w:r>
        <w:rPr>
          <w:rFonts w:hint="eastAsia" w:ascii="宋体" w:hAnsi="宋体" w:cs="宋体"/>
          <w:szCs w:val="28"/>
        </w:rPr>
        <w:t>附：法定代表人以及被授权人身份证明</w:t>
      </w:r>
      <w:r>
        <w:rPr>
          <w:rFonts w:hint="eastAsia" w:ascii="宋体" w:hAnsi="宋体" w:cs="宋体"/>
          <w:b/>
          <w:szCs w:val="28"/>
        </w:rPr>
        <w:t>（原件扫描件或复印件盖章）</w:t>
      </w:r>
    </w:p>
    <w:p>
      <w:pPr>
        <w:pStyle w:val="18"/>
        <w:ind w:firstLine="560"/>
      </w:pPr>
    </w:p>
    <w:p>
      <w:pPr>
        <w:pStyle w:val="18"/>
        <w:ind w:firstLine="560"/>
      </w:pPr>
    </w:p>
    <w:p>
      <w:pPr>
        <w:pStyle w:val="18"/>
        <w:ind w:firstLine="560"/>
      </w:pPr>
    </w:p>
    <w:p>
      <w:pPr>
        <w:pStyle w:val="18"/>
        <w:ind w:firstLine="560"/>
      </w:pPr>
    </w:p>
    <w:p>
      <w:pPr>
        <w:pStyle w:val="18"/>
        <w:ind w:firstLine="560"/>
      </w:pPr>
    </w:p>
    <w:p>
      <w:pPr>
        <w:pStyle w:val="18"/>
        <w:ind w:firstLine="560"/>
      </w:pPr>
    </w:p>
    <w:p>
      <w:pPr>
        <w:pStyle w:val="18"/>
        <w:ind w:firstLine="560"/>
      </w:pPr>
    </w:p>
    <w:p>
      <w:pPr>
        <w:pStyle w:val="18"/>
        <w:ind w:firstLine="560"/>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3207DD4-057F-44FB-BBE1-A32A0630860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CD53B2CD-D283-4B93-BCD7-584E7F286AA8}"/>
  </w:font>
  <w:font w:name="Arial">
    <w:panose1 w:val="020B0604020202020204"/>
    <w:charset w:val="00"/>
    <w:family w:val="swiss"/>
    <w:pitch w:val="default"/>
    <w:sig w:usb0="E0002EFF" w:usb1="C000785B" w:usb2="00000009" w:usb3="00000000" w:csb0="400001FF" w:csb1="FFFF0000"/>
    <w:embedRegular r:id="rId3" w:fontKey="{6776ADEC-10C5-4FBB-85ED-F376C82A3C88}"/>
  </w:font>
  <w:font w:name="Courier New">
    <w:panose1 w:val="02070309020205020404"/>
    <w:charset w:val="00"/>
    <w:family w:val="modern"/>
    <w:pitch w:val="default"/>
    <w:sig w:usb0="E0002EFF" w:usb1="C0007843" w:usb2="00000009" w:usb3="00000000" w:csb0="400001FF" w:csb1="FFFF0000"/>
  </w:font>
  <w:font w:name="??">
    <w:altName w:val="Times New Roman"/>
    <w:panose1 w:val="00000000000000000000"/>
    <w:charset w:val="00"/>
    <w:family w:val="roman"/>
    <w:pitch w:val="default"/>
    <w:sig w:usb0="00000000" w:usb1="00000000" w:usb2="00000000" w:usb3="00000000" w:csb0="00000001" w:csb1="00000000"/>
  </w:font>
  <w:font w:name="PMingLiUfalt">
    <w:altName w:val="MingLiU-ExtB"/>
    <w:panose1 w:val="00000000000000000000"/>
    <w:charset w:val="88"/>
    <w:family w:val="auto"/>
    <w:pitch w:val="default"/>
    <w:sig w:usb0="00000000" w:usb1="00000000" w:usb2="00000010" w:usb3="00000000" w:csb0="00100000" w:csb1="00000000"/>
    <w:embedRegular r:id="rId4" w:fontKey="{7535CD26-0AA5-4CF9-B5E2-1F083F665B48}"/>
  </w:font>
  <w:font w:name="方正小标宋简体">
    <w:altName w:val="方正舒体"/>
    <w:panose1 w:val="00000000000000000000"/>
    <w:charset w:val="86"/>
    <w:family w:val="script"/>
    <w:pitch w:val="default"/>
    <w:sig w:usb0="00000000" w:usb1="00000000" w:usb2="00000000" w:usb3="00000000" w:csb0="00040000" w:csb1="00000000"/>
    <w:embedRegular r:id="rId5" w:fontKey="{1550F21D-72FB-47CD-8701-9852B1AEC8E1}"/>
  </w:font>
  <w:font w:name="仿宋_GB2312">
    <w:altName w:val="仿宋"/>
    <w:panose1 w:val="00000000000000000000"/>
    <w:charset w:val="86"/>
    <w:family w:val="modern"/>
    <w:pitch w:val="default"/>
    <w:sig w:usb0="00000000" w:usb1="00000000" w:usb2="00000010" w:usb3="00000000" w:csb0="00040000" w:csb1="00000000"/>
    <w:embedRegular r:id="rId6" w:fontKey="{A54D43C0-1501-438F-9A1D-1BCE53D46461}"/>
  </w:font>
  <w:font w:name="楷体_GB2312">
    <w:altName w:val="楷体"/>
    <w:panose1 w:val="00000000000000000000"/>
    <w:charset w:val="86"/>
    <w:family w:val="modern"/>
    <w:pitch w:val="default"/>
    <w:sig w:usb0="00000000" w:usb1="00000000" w:usb2="00000010" w:usb3="00000000" w:csb0="00040000" w:csb1="00000000"/>
    <w:embedRegular r:id="rId7" w:fontKey="{0A47BBD1-9D98-4AF9-A57C-CF65BFF5A1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MingLiU-ExtB">
    <w:panose1 w:val="02020500000000000000"/>
    <w:charset w:val="88"/>
    <w:family w:val="auto"/>
    <w:pitch w:val="default"/>
    <w:sig w:usb0="8000002F" w:usb1="02000008" w:usb2="00000000" w:usb3="00000000" w:csb0="00100001" w:csb1="00000000"/>
  </w:font>
  <w:font w:name="方正舒体">
    <w:panose1 w:val="02010601030101010101"/>
    <w:charset w:val="86"/>
    <w:family w:val="auto"/>
    <w:pitch w:val="default"/>
    <w:sig w:usb0="00000003"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single" w:color="auto" w:sz="4" w:space="1"/>
      </w:pBdr>
      <w:jc w:val="both"/>
      <w:rPr>
        <w:rFonts w:ascii="楷体_GB2312" w:hAnsi="黑体" w:eastAsia="楷体_GB2312" w:cs="黑体"/>
        <w:i/>
        <w:iCs/>
        <w:sz w:val="21"/>
        <w:szCs w:val="21"/>
      </w:rPr>
    </w:pPr>
    <w:r>
      <w:drawing>
        <wp:inline distT="0" distB="0" distL="114300" distR="114300">
          <wp:extent cx="431800" cy="368300"/>
          <wp:effectExtent l="0" t="0" r="6350" b="12700"/>
          <wp:docPr id="1" name="图片 1" descr="668116201180629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668116201180629264"/>
                  <pic:cNvPicPr>
                    <a:picLocks noChangeAspect="1"/>
                  </pic:cNvPicPr>
                </pic:nvPicPr>
                <pic:blipFill>
                  <a:blip r:embed="rId1"/>
                  <a:srcRect l="3307" t="7990" r="2203" b="11295"/>
                  <a:stretch>
                    <a:fillRect/>
                  </a:stretch>
                </pic:blipFill>
                <pic:spPr>
                  <a:xfrm>
                    <a:off x="0" y="0"/>
                    <a:ext cx="431800" cy="368300"/>
                  </a:xfrm>
                  <a:prstGeom prst="rect">
                    <a:avLst/>
                  </a:prstGeom>
                  <a:noFill/>
                  <a:ln>
                    <a:noFill/>
                  </a:ln>
                </pic:spPr>
              </pic:pic>
            </a:graphicData>
          </a:graphic>
        </wp:inline>
      </w:drawing>
    </w:r>
    <w:r>
      <w:rPr>
        <w:rFonts w:hint="eastAsia" w:ascii="楷体_GB2312" w:hAnsi="黑体" w:eastAsia="楷体_GB2312" w:cs="黑体"/>
        <w:i/>
        <w:iCs/>
        <w:sz w:val="21"/>
        <w:szCs w:val="21"/>
      </w:rPr>
      <w:t>安徽中冶淮海装配式建筑有限公司</w:t>
    </w:r>
  </w:p>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6BF1A1"/>
    <w:multiLevelType w:val="singleLevel"/>
    <w:tmpl w:val="836BF1A1"/>
    <w:lvl w:ilvl="0" w:tentative="0">
      <w:start w:val="1"/>
      <w:numFmt w:val="chineseCounting"/>
      <w:suff w:val="nothing"/>
      <w:lvlText w:val="%1、"/>
      <w:lvlJc w:val="left"/>
      <w:rPr>
        <w:rFonts w:hint="eastAsia"/>
      </w:rPr>
    </w:lvl>
  </w:abstractNum>
  <w:abstractNum w:abstractNumId="1">
    <w:nsid w:val="2825072B"/>
    <w:multiLevelType w:val="singleLevel"/>
    <w:tmpl w:val="2825072B"/>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TrueTypeFonts/>
  <w:saveSubsetFonts/>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czNGFlZDIzOWM4OWQ1ZTAwZmVjMzVmNzFkZjliYTgifQ=="/>
  </w:docVars>
  <w:rsids>
    <w:rsidRoot w:val="00857AE7"/>
    <w:rsid w:val="001530CD"/>
    <w:rsid w:val="00176660"/>
    <w:rsid w:val="00182C5F"/>
    <w:rsid w:val="002368F3"/>
    <w:rsid w:val="002753A9"/>
    <w:rsid w:val="002808B4"/>
    <w:rsid w:val="002D1E4E"/>
    <w:rsid w:val="003D7890"/>
    <w:rsid w:val="003E63FC"/>
    <w:rsid w:val="004403C2"/>
    <w:rsid w:val="004D6106"/>
    <w:rsid w:val="004D61A3"/>
    <w:rsid w:val="00554E3D"/>
    <w:rsid w:val="005565B5"/>
    <w:rsid w:val="005633B7"/>
    <w:rsid w:val="005E5CF4"/>
    <w:rsid w:val="00695906"/>
    <w:rsid w:val="006F43C3"/>
    <w:rsid w:val="00731A73"/>
    <w:rsid w:val="00801013"/>
    <w:rsid w:val="00857AE7"/>
    <w:rsid w:val="008C31BB"/>
    <w:rsid w:val="008F11A9"/>
    <w:rsid w:val="00912B5C"/>
    <w:rsid w:val="009A2E34"/>
    <w:rsid w:val="00A41DD4"/>
    <w:rsid w:val="00BE0109"/>
    <w:rsid w:val="00CB27AB"/>
    <w:rsid w:val="00CB3C87"/>
    <w:rsid w:val="00CE1A92"/>
    <w:rsid w:val="00D1313D"/>
    <w:rsid w:val="00DA4D8B"/>
    <w:rsid w:val="00E0218A"/>
    <w:rsid w:val="00F53CF6"/>
    <w:rsid w:val="0196601E"/>
    <w:rsid w:val="01DB6F3E"/>
    <w:rsid w:val="022368EC"/>
    <w:rsid w:val="0375541A"/>
    <w:rsid w:val="03DB3B6B"/>
    <w:rsid w:val="05EE1761"/>
    <w:rsid w:val="070B125C"/>
    <w:rsid w:val="07A654C1"/>
    <w:rsid w:val="08ED64C0"/>
    <w:rsid w:val="090C4E18"/>
    <w:rsid w:val="09524F20"/>
    <w:rsid w:val="0A7118E2"/>
    <w:rsid w:val="0AC30959"/>
    <w:rsid w:val="0B721714"/>
    <w:rsid w:val="0C4B5C57"/>
    <w:rsid w:val="0CCC5A5B"/>
    <w:rsid w:val="0D132C19"/>
    <w:rsid w:val="0D215CA4"/>
    <w:rsid w:val="0DE15621"/>
    <w:rsid w:val="0DF465A6"/>
    <w:rsid w:val="0E7300A5"/>
    <w:rsid w:val="0F046CBD"/>
    <w:rsid w:val="0F4B2258"/>
    <w:rsid w:val="0F586AB5"/>
    <w:rsid w:val="0F6A403A"/>
    <w:rsid w:val="12603A0C"/>
    <w:rsid w:val="12F3794D"/>
    <w:rsid w:val="1528354A"/>
    <w:rsid w:val="155B21A4"/>
    <w:rsid w:val="17667EB7"/>
    <w:rsid w:val="17CC40F0"/>
    <w:rsid w:val="185E7120"/>
    <w:rsid w:val="188E6525"/>
    <w:rsid w:val="19BC1F42"/>
    <w:rsid w:val="1BBF235E"/>
    <w:rsid w:val="1E753327"/>
    <w:rsid w:val="1F557E70"/>
    <w:rsid w:val="1F66307C"/>
    <w:rsid w:val="1FBF4721"/>
    <w:rsid w:val="206C021E"/>
    <w:rsid w:val="223E763B"/>
    <w:rsid w:val="227E0F23"/>
    <w:rsid w:val="22B47E8D"/>
    <w:rsid w:val="22CA0507"/>
    <w:rsid w:val="253900B0"/>
    <w:rsid w:val="2BBD6398"/>
    <w:rsid w:val="2D087520"/>
    <w:rsid w:val="2DBD47AF"/>
    <w:rsid w:val="2F112F4D"/>
    <w:rsid w:val="2F6772AE"/>
    <w:rsid w:val="30B94C0E"/>
    <w:rsid w:val="30EE1283"/>
    <w:rsid w:val="310D0761"/>
    <w:rsid w:val="31973569"/>
    <w:rsid w:val="322D5CC7"/>
    <w:rsid w:val="32E519C2"/>
    <w:rsid w:val="331E5FDE"/>
    <w:rsid w:val="333A2AE8"/>
    <w:rsid w:val="33401887"/>
    <w:rsid w:val="335A2AA0"/>
    <w:rsid w:val="339F3D93"/>
    <w:rsid w:val="34EC69C4"/>
    <w:rsid w:val="36FD3F9D"/>
    <w:rsid w:val="3907335C"/>
    <w:rsid w:val="39462284"/>
    <w:rsid w:val="39B52441"/>
    <w:rsid w:val="3B213F1B"/>
    <w:rsid w:val="3B844B5E"/>
    <w:rsid w:val="3BEE61FC"/>
    <w:rsid w:val="3CE95F82"/>
    <w:rsid w:val="3D2E089D"/>
    <w:rsid w:val="3ECC2DB7"/>
    <w:rsid w:val="3F942E96"/>
    <w:rsid w:val="41826D25"/>
    <w:rsid w:val="422B0C3F"/>
    <w:rsid w:val="46107D59"/>
    <w:rsid w:val="4654512D"/>
    <w:rsid w:val="46BC1650"/>
    <w:rsid w:val="478358F3"/>
    <w:rsid w:val="47E262DA"/>
    <w:rsid w:val="480959A4"/>
    <w:rsid w:val="497B78F5"/>
    <w:rsid w:val="49E875FC"/>
    <w:rsid w:val="4A0028B0"/>
    <w:rsid w:val="4B286820"/>
    <w:rsid w:val="4D131804"/>
    <w:rsid w:val="4D8F02EA"/>
    <w:rsid w:val="4E656129"/>
    <w:rsid w:val="4EBA5EDC"/>
    <w:rsid w:val="4ECB6273"/>
    <w:rsid w:val="4EDE7C89"/>
    <w:rsid w:val="4F464515"/>
    <w:rsid w:val="4FB268D5"/>
    <w:rsid w:val="50841F28"/>
    <w:rsid w:val="50E23BE0"/>
    <w:rsid w:val="50F44C88"/>
    <w:rsid w:val="53936277"/>
    <w:rsid w:val="54793622"/>
    <w:rsid w:val="54F63B31"/>
    <w:rsid w:val="558570B1"/>
    <w:rsid w:val="575431DF"/>
    <w:rsid w:val="57D367F9"/>
    <w:rsid w:val="58577D85"/>
    <w:rsid w:val="5867613B"/>
    <w:rsid w:val="589E69AB"/>
    <w:rsid w:val="59860AD2"/>
    <w:rsid w:val="5BE8638E"/>
    <w:rsid w:val="5E7B3F11"/>
    <w:rsid w:val="5EF9595D"/>
    <w:rsid w:val="5F867F56"/>
    <w:rsid w:val="609F5D58"/>
    <w:rsid w:val="613823F5"/>
    <w:rsid w:val="621912AD"/>
    <w:rsid w:val="624A5181"/>
    <w:rsid w:val="64664DDB"/>
    <w:rsid w:val="66505C29"/>
    <w:rsid w:val="68812D10"/>
    <w:rsid w:val="6B8A3881"/>
    <w:rsid w:val="6BDD77EF"/>
    <w:rsid w:val="6C150D37"/>
    <w:rsid w:val="6DC215AD"/>
    <w:rsid w:val="6EB476F5"/>
    <w:rsid w:val="6ED031D4"/>
    <w:rsid w:val="6FCF30E7"/>
    <w:rsid w:val="6FE32326"/>
    <w:rsid w:val="707149AA"/>
    <w:rsid w:val="718D5813"/>
    <w:rsid w:val="71A015DD"/>
    <w:rsid w:val="72874010"/>
    <w:rsid w:val="753D12FE"/>
    <w:rsid w:val="758757EF"/>
    <w:rsid w:val="76715BF3"/>
    <w:rsid w:val="76806101"/>
    <w:rsid w:val="773D06B3"/>
    <w:rsid w:val="77A318EC"/>
    <w:rsid w:val="77D84D75"/>
    <w:rsid w:val="79CC3E3D"/>
    <w:rsid w:val="7A1F665B"/>
    <w:rsid w:val="7A5E7A0C"/>
    <w:rsid w:val="7C372603"/>
    <w:rsid w:val="7CCF7EEF"/>
    <w:rsid w:val="7D5368DB"/>
    <w:rsid w:val="7DA855CC"/>
    <w:rsid w:val="7E992C65"/>
    <w:rsid w:val="7F0C046D"/>
    <w:rsid w:val="7F933E0A"/>
    <w:rsid w:val="7FFF45F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semiHidden="0" w:name="heading 2" w:locked="1"/>
    <w:lsdException w:qFormat="1" w:unhideWhenUsed="0" w:uiPriority="0" w:semiHidden="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0" w:semiHidden="0"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qFormat="1" w:unhideWhenUsed="0"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1"/>
    <w:unhideWhenUsed/>
    <w:qFormat/>
    <w:locked/>
    <w:uiPriority w:val="0"/>
    <w:pPr>
      <w:keepNext/>
      <w:keepLines/>
      <w:spacing w:line="413" w:lineRule="auto"/>
      <w:outlineLvl w:val="1"/>
    </w:pPr>
    <w:rPr>
      <w:rFonts w:ascii="Arial" w:hAnsi="Arial" w:eastAsia="黑体"/>
      <w:b/>
      <w:sz w:val="32"/>
    </w:rPr>
  </w:style>
  <w:style w:type="paragraph" w:styleId="4">
    <w:name w:val="heading 3"/>
    <w:basedOn w:val="1"/>
    <w:next w:val="1"/>
    <w:qFormat/>
    <w:locked/>
    <w:uiPriority w:val="0"/>
    <w:pPr>
      <w:keepNext/>
      <w:keepLines/>
      <w:spacing w:before="260" w:after="260" w:line="416" w:lineRule="auto"/>
      <w:outlineLvl w:val="2"/>
    </w:pPr>
    <w:rPr>
      <w:b/>
      <w:bCs/>
      <w:sz w:val="32"/>
      <w:szCs w:val="32"/>
    </w:rPr>
  </w:style>
  <w:style w:type="character" w:default="1" w:styleId="17">
    <w:name w:val="Default Paragraph Font"/>
    <w:semiHidden/>
    <w:unhideWhenUsed/>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customStyle="1" w:styleId="2">
    <w:name w:val="BodyText"/>
    <w:basedOn w:val="1"/>
    <w:next w:val="1"/>
    <w:qFormat/>
    <w:uiPriority w:val="0"/>
    <w:pPr>
      <w:jc w:val="center"/>
    </w:pPr>
    <w:rPr>
      <w:sz w:val="52"/>
    </w:rPr>
  </w:style>
  <w:style w:type="paragraph" w:styleId="5">
    <w:name w:val="Body Text"/>
    <w:basedOn w:val="1"/>
    <w:next w:val="1"/>
    <w:qFormat/>
    <w:uiPriority w:val="0"/>
    <w:pPr>
      <w:spacing w:line="360" w:lineRule="auto"/>
      <w:jc w:val="center"/>
    </w:pPr>
    <w:rPr>
      <w:rFonts w:ascii="宋体"/>
      <w:b/>
      <w:sz w:val="52"/>
    </w:rPr>
  </w:style>
  <w:style w:type="paragraph" w:styleId="6">
    <w:name w:val="Body Text Indent"/>
    <w:basedOn w:val="1"/>
    <w:qFormat/>
    <w:uiPriority w:val="0"/>
    <w:pPr>
      <w:spacing w:line="400" w:lineRule="exact"/>
      <w:ind w:left="420"/>
    </w:pPr>
    <w:rPr>
      <w:sz w:val="28"/>
    </w:rPr>
  </w:style>
  <w:style w:type="paragraph" w:styleId="7">
    <w:name w:val="Plain Text"/>
    <w:basedOn w:val="1"/>
    <w:qFormat/>
    <w:uiPriority w:val="0"/>
    <w:rPr>
      <w:rFonts w:ascii="宋体" w:hAnsi="Courier New" w:cs="Courier New"/>
      <w:szCs w:val="21"/>
    </w:rPr>
  </w:style>
  <w:style w:type="paragraph" w:styleId="8">
    <w:name w:val="Date"/>
    <w:basedOn w:val="1"/>
    <w:next w:val="1"/>
    <w:qFormat/>
    <w:uiPriority w:val="0"/>
    <w:pPr>
      <w:ind w:left="100" w:leftChars="2500"/>
    </w:pPr>
    <w:rPr>
      <w:sz w:val="36"/>
    </w:rPr>
  </w:style>
  <w:style w:type="paragraph" w:styleId="9">
    <w:name w:val="Body Text Indent 2"/>
    <w:basedOn w:val="1"/>
    <w:link w:val="20"/>
    <w:semiHidden/>
    <w:qFormat/>
    <w:uiPriority w:val="99"/>
    <w:pPr>
      <w:spacing w:after="120" w:line="480" w:lineRule="auto"/>
      <w:ind w:left="420" w:leftChars="200"/>
    </w:pPr>
  </w:style>
  <w:style w:type="paragraph" w:styleId="10">
    <w:name w:val="footer"/>
    <w:basedOn w:val="1"/>
    <w:link w:val="21"/>
    <w:semiHidden/>
    <w:qFormat/>
    <w:uiPriority w:val="99"/>
    <w:pPr>
      <w:tabs>
        <w:tab w:val="center" w:pos="4153"/>
        <w:tab w:val="right" w:pos="8306"/>
      </w:tabs>
      <w:snapToGrid w:val="0"/>
      <w:jc w:val="left"/>
    </w:pPr>
    <w:rPr>
      <w:sz w:val="18"/>
      <w:szCs w:val="18"/>
    </w:rPr>
  </w:style>
  <w:style w:type="paragraph" w:styleId="11">
    <w:name w:val="header"/>
    <w:basedOn w:val="1"/>
    <w:link w:val="22"/>
    <w:semiHidden/>
    <w:qFormat/>
    <w:uiPriority w:val="99"/>
    <w:pPr>
      <w:pBdr>
        <w:bottom w:val="single" w:color="auto" w:sz="6" w:space="1"/>
      </w:pBdr>
      <w:tabs>
        <w:tab w:val="center" w:pos="4153"/>
        <w:tab w:val="right" w:pos="8306"/>
      </w:tabs>
      <w:snapToGrid w:val="0"/>
      <w:jc w:val="center"/>
    </w:pPr>
    <w:rPr>
      <w:rFonts w:ascii="宋体" w:hAnsi="宋体" w:cs="宋体"/>
      <w:sz w:val="18"/>
      <w:szCs w:val="18"/>
    </w:rPr>
  </w:style>
  <w:style w:type="paragraph" w:styleId="12">
    <w:name w:val="toc 1"/>
    <w:basedOn w:val="1"/>
    <w:next w:val="1"/>
    <w:unhideWhenUsed/>
    <w:qFormat/>
    <w:locked/>
    <w:uiPriority w:val="0"/>
    <w:pPr>
      <w:tabs>
        <w:tab w:val="left" w:pos="540"/>
        <w:tab w:val="right" w:leader="dot" w:pos="9180"/>
      </w:tabs>
      <w:snapToGrid w:val="0"/>
      <w:spacing w:line="240" w:lineRule="atLeast"/>
    </w:pPr>
    <w:rPr>
      <w:rFonts w:hint="eastAsia" w:ascii="宋体"/>
      <w:sz w:val="24"/>
    </w:rPr>
  </w:style>
  <w:style w:type="paragraph" w:styleId="13">
    <w:name w:val="Normal (Web)"/>
    <w:basedOn w:val="1"/>
    <w:qFormat/>
    <w:uiPriority w:val="0"/>
    <w:pPr>
      <w:widowControl/>
      <w:spacing w:before="100" w:beforeAutospacing="1" w:after="100" w:afterAutospacing="1"/>
      <w:jc w:val="left"/>
    </w:pPr>
    <w:rPr>
      <w:kern w:val="0"/>
      <w:sz w:val="24"/>
    </w:rPr>
  </w:style>
  <w:style w:type="paragraph" w:styleId="14">
    <w:name w:val="Body Text First Indent 2"/>
    <w:basedOn w:val="6"/>
    <w:next w:val="1"/>
    <w:unhideWhenUsed/>
    <w:qFormat/>
    <w:uiPriority w:val="99"/>
    <w:pPr>
      <w:ind w:firstLine="420" w:firstLineChars="200"/>
    </w:pPr>
  </w:style>
  <w:style w:type="table" w:styleId="16">
    <w:name w:val="Table Grid"/>
    <w:basedOn w:val="15"/>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
    <w:name w:val="BodyText1I2"/>
    <w:basedOn w:val="19"/>
    <w:qFormat/>
    <w:uiPriority w:val="0"/>
    <w:pPr>
      <w:tabs>
        <w:tab w:val="left" w:pos="1176"/>
      </w:tabs>
      <w:ind w:firstLine="420" w:firstLineChars="200"/>
    </w:pPr>
  </w:style>
  <w:style w:type="paragraph" w:customStyle="1" w:styleId="19">
    <w:name w:val="BodyTextIndent"/>
    <w:basedOn w:val="1"/>
    <w:next w:val="2"/>
    <w:qFormat/>
    <w:uiPriority w:val="0"/>
    <w:pPr>
      <w:ind w:firstLine="630"/>
    </w:pPr>
    <w:rPr>
      <w:sz w:val="28"/>
    </w:rPr>
  </w:style>
  <w:style w:type="character" w:customStyle="1" w:styleId="20">
    <w:name w:val="正文文本缩进 2 字符"/>
    <w:basedOn w:val="17"/>
    <w:link w:val="9"/>
    <w:semiHidden/>
    <w:qFormat/>
    <w:locked/>
    <w:uiPriority w:val="99"/>
    <w:rPr>
      <w:rFonts w:ascii="Calibri" w:hAnsi="Calibri" w:eastAsia="宋体" w:cs="Times New Roman"/>
      <w:sz w:val="24"/>
      <w:szCs w:val="24"/>
    </w:rPr>
  </w:style>
  <w:style w:type="character" w:customStyle="1" w:styleId="21">
    <w:name w:val="页脚 字符"/>
    <w:basedOn w:val="17"/>
    <w:link w:val="10"/>
    <w:semiHidden/>
    <w:qFormat/>
    <w:locked/>
    <w:uiPriority w:val="99"/>
    <w:rPr>
      <w:rFonts w:ascii="Calibri" w:hAnsi="Calibri" w:eastAsia="宋体" w:cs="Times New Roman"/>
      <w:sz w:val="18"/>
      <w:szCs w:val="18"/>
    </w:rPr>
  </w:style>
  <w:style w:type="character" w:customStyle="1" w:styleId="22">
    <w:name w:val="页眉 字符"/>
    <w:basedOn w:val="17"/>
    <w:link w:val="11"/>
    <w:semiHidden/>
    <w:qFormat/>
    <w:locked/>
    <w:uiPriority w:val="99"/>
    <w:rPr>
      <w:rFonts w:ascii="宋体" w:hAnsi="宋体" w:eastAsia="宋体" w:cs="宋体"/>
      <w:sz w:val="18"/>
      <w:szCs w:val="18"/>
    </w:rPr>
  </w:style>
  <w:style w:type="character" w:customStyle="1" w:styleId="23">
    <w:name w:val="页眉 Char"/>
    <w:basedOn w:val="17"/>
    <w:semiHidden/>
    <w:qFormat/>
    <w:uiPriority w:val="99"/>
    <w:rPr>
      <w:rFonts w:ascii="Calibri" w:hAnsi="Calibri" w:eastAsia="宋体" w:cs="Times New Roman"/>
      <w:sz w:val="18"/>
      <w:szCs w:val="18"/>
    </w:rPr>
  </w:style>
  <w:style w:type="paragraph" w:customStyle="1" w:styleId="24">
    <w:name w:val="p0"/>
    <w:basedOn w:val="1"/>
    <w:qFormat/>
    <w:uiPriority w:val="99"/>
    <w:pPr>
      <w:widowControl/>
      <w:spacing w:line="360" w:lineRule="auto"/>
      <w:jc w:val="left"/>
    </w:pPr>
    <w:rPr>
      <w:rFonts w:ascii="??" w:hAnsi="??" w:cs="宋体"/>
      <w:kern w:val="0"/>
      <w:sz w:val="20"/>
      <w:szCs w:val="20"/>
    </w:rPr>
  </w:style>
  <w:style w:type="character" w:customStyle="1" w:styleId="25">
    <w:name w:val="h221"/>
    <w:basedOn w:val="17"/>
    <w:qFormat/>
    <w:uiPriority w:val="99"/>
    <w:rPr>
      <w:rFonts w:ascii="宋体" w:hAnsi="宋体" w:eastAsia="宋体" w:cs="宋体"/>
      <w:sz w:val="24"/>
    </w:rPr>
  </w:style>
  <w:style w:type="character" w:customStyle="1" w:styleId="26">
    <w:name w:val="NormalCharacter"/>
    <w:semiHidden/>
    <w:qFormat/>
    <w:uiPriority w:val="0"/>
    <w:rPr>
      <w:rFonts w:ascii="Calibri" w:hAnsi="Calibri" w:eastAsia="宋体" w:cs="Times New Roman"/>
      <w:kern w:val="2"/>
      <w:sz w:val="21"/>
      <w:szCs w:val="24"/>
      <w:lang w:val="en-US" w:eastAsia="zh-CN" w:bidi="ar-SA"/>
    </w:rPr>
  </w:style>
  <w:style w:type="paragraph" w:customStyle="1" w:styleId="27">
    <w:name w:val="Heading3"/>
    <w:basedOn w:val="1"/>
    <w:next w:val="1"/>
    <w:qFormat/>
    <w:uiPriority w:val="0"/>
    <w:pPr>
      <w:keepNext/>
      <w:keepLines/>
      <w:widowControl/>
      <w:spacing w:before="260" w:after="260" w:line="416" w:lineRule="auto"/>
      <w:textAlignment w:val="baseline"/>
    </w:pPr>
    <w:rPr>
      <w:b/>
      <w:bCs/>
      <w:sz w:val="32"/>
      <w:szCs w:val="32"/>
    </w:rPr>
  </w:style>
  <w:style w:type="character" w:customStyle="1" w:styleId="28">
    <w:name w:val="font12"/>
    <w:basedOn w:val="17"/>
    <w:qFormat/>
    <w:uiPriority w:val="0"/>
    <w:rPr>
      <w:rFonts w:hint="eastAsia" w:ascii="宋体" w:hAnsi="宋体" w:eastAsia="宋体" w:cs="宋体"/>
      <w:b/>
      <w:bCs/>
      <w:color w:val="000000"/>
      <w:sz w:val="24"/>
      <w:szCs w:val="24"/>
      <w:u w:val="none"/>
    </w:rPr>
  </w:style>
  <w:style w:type="character" w:customStyle="1" w:styleId="29">
    <w:name w:val="font161"/>
    <w:basedOn w:val="17"/>
    <w:qFormat/>
    <w:uiPriority w:val="0"/>
    <w:rPr>
      <w:rFonts w:hint="eastAsia" w:ascii="宋体" w:hAnsi="宋体" w:eastAsia="宋体" w:cs="宋体"/>
      <w:b/>
      <w:bCs/>
      <w:color w:val="000000"/>
      <w:sz w:val="32"/>
      <w:szCs w:val="32"/>
      <w:u w:val="none"/>
    </w:rPr>
  </w:style>
  <w:style w:type="character" w:customStyle="1" w:styleId="30">
    <w:name w:val="font31"/>
    <w:basedOn w:val="17"/>
    <w:qFormat/>
    <w:uiPriority w:val="0"/>
    <w:rPr>
      <w:rFonts w:hint="eastAsia" w:ascii="宋体" w:hAnsi="宋体" w:eastAsia="宋体" w:cs="宋体"/>
      <w:b/>
      <w:bCs/>
      <w:color w:val="000000"/>
      <w:sz w:val="20"/>
      <w:szCs w:val="20"/>
      <w:u w:val="none"/>
    </w:rPr>
  </w:style>
  <w:style w:type="character" w:customStyle="1" w:styleId="31">
    <w:name w:val="font51"/>
    <w:basedOn w:val="17"/>
    <w:qFormat/>
    <w:uiPriority w:val="0"/>
    <w:rPr>
      <w:rFonts w:hint="eastAsia" w:ascii="黑体" w:hAnsi="宋体" w:eastAsia="黑体" w:cs="黑体"/>
      <w:b/>
      <w:bCs/>
      <w:color w:val="000000"/>
      <w:sz w:val="20"/>
      <w:szCs w:val="20"/>
      <w:u w:val="none"/>
    </w:rPr>
  </w:style>
  <w:style w:type="character" w:customStyle="1" w:styleId="32">
    <w:name w:val="font71"/>
    <w:basedOn w:val="17"/>
    <w:qFormat/>
    <w:uiPriority w:val="0"/>
    <w:rPr>
      <w:rFonts w:hint="eastAsia" w:ascii="宋体" w:hAnsi="宋体" w:eastAsia="宋体" w:cs="宋体"/>
      <w:color w:val="000000"/>
      <w:sz w:val="20"/>
      <w:szCs w:val="20"/>
      <w:u w:val="none"/>
    </w:rPr>
  </w:style>
  <w:style w:type="character" w:customStyle="1" w:styleId="33">
    <w:name w:val="font91"/>
    <w:basedOn w:val="17"/>
    <w:qFormat/>
    <w:uiPriority w:val="0"/>
    <w:rPr>
      <w:rFonts w:hint="eastAsia" w:ascii="宋体" w:hAnsi="宋体" w:eastAsia="宋体" w:cs="宋体"/>
      <w:b/>
      <w:bCs/>
      <w:color w:val="000000"/>
      <w:sz w:val="20"/>
      <w:szCs w:val="20"/>
      <w:u w:val="none"/>
    </w:rPr>
  </w:style>
  <w:style w:type="character" w:customStyle="1" w:styleId="34">
    <w:name w:val="font41"/>
    <w:basedOn w:val="17"/>
    <w:qFormat/>
    <w:uiPriority w:val="0"/>
    <w:rPr>
      <w:rFonts w:hint="eastAsia" w:ascii="宋体" w:hAnsi="宋体" w:eastAsia="宋体" w:cs="宋体"/>
      <w:b/>
      <w:bCs/>
      <w:color w:val="FF0000"/>
      <w:sz w:val="20"/>
      <w:szCs w:val="20"/>
      <w:u w:val="none"/>
    </w:rPr>
  </w:style>
  <w:style w:type="character" w:customStyle="1" w:styleId="35">
    <w:name w:val="font141"/>
    <w:basedOn w:val="17"/>
    <w:qFormat/>
    <w:uiPriority w:val="0"/>
    <w:rPr>
      <w:rFonts w:ascii="Arial" w:hAnsi="Arial" w:cs="Arial"/>
      <w:b/>
      <w:bCs/>
      <w:color w:val="000000"/>
      <w:sz w:val="20"/>
      <w:szCs w:val="20"/>
      <w:u w:val="none"/>
    </w:rPr>
  </w:style>
  <w:style w:type="paragraph" w:customStyle="1" w:styleId="36">
    <w:name w:val="Body text|14"/>
    <w:basedOn w:val="1"/>
    <w:qFormat/>
    <w:uiPriority w:val="99"/>
    <w:pPr>
      <w:shd w:val="clear" w:color="auto" w:fill="FFFFFF"/>
      <w:spacing w:line="110" w:lineRule="exact"/>
    </w:pPr>
    <w:rPr>
      <w:rFonts w:ascii="PMingLiUfalt" w:hAnsi="PMingLiUfalt" w:eastAsia="PMingLiUfalt" w:cs="PMingLiUfalt"/>
      <w:w w:val="250"/>
      <w:sz w:val="11"/>
      <w:szCs w:val="11"/>
      <w:lang w:eastAsia="en-US"/>
    </w:rPr>
  </w:style>
  <w:style w:type="character" w:customStyle="1" w:styleId="37">
    <w:name w:val="Body text|14 Exact1"/>
    <w:qFormat/>
    <w:uiPriority w:val="99"/>
    <w:rPr>
      <w:rFonts w:ascii="PMingLiUfalt" w:hAnsi="PMingLiUfalt" w:eastAsia="PMingLiUfalt" w:cs="PMingLiUfalt"/>
      <w:color w:val="95415D"/>
      <w:spacing w:val="0"/>
      <w:w w:val="250"/>
      <w:position w:val="0"/>
      <w:sz w:val="11"/>
      <w:szCs w:val="11"/>
      <w:u w:val="none"/>
      <w:lang w:val="en-US"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9531</Words>
  <Characters>10009</Characters>
  <Lines>79</Lines>
  <Paragraphs>22</Paragraphs>
  <TotalTime>36</TotalTime>
  <ScaleCrop>false</ScaleCrop>
  <LinksUpToDate>false</LinksUpToDate>
  <CharactersWithSpaces>10628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2021-04-01T09:28:00Z</dcterms:created>
  <dc:creator>LENOVO</dc:creator>
  <cp:lastModifiedBy>G.L</cp:lastModifiedBy>
  <dcterms:modified xsi:type="dcterms:W3CDTF">2023-06-13T02:20:52Z</dcterms:modified>
  <dc:title>安徽中冶淮海装配式建筑有限公司</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B5823F4316294B698D67E0186F021297_13</vt:lpwstr>
  </property>
</Properties>
</file>