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80" w:lineRule="auto"/>
        <w:jc w:val="center"/>
        <w:rPr>
          <w:b/>
          <w:color w:val="1F497D"/>
          <w:sz w:val="36"/>
        </w:rPr>
      </w:pPr>
      <w:bookmarkStart w:id="0" w:name="_GoBack"/>
      <w:bookmarkEnd w:id="0"/>
    </w:p>
    <w:p>
      <w:pPr>
        <w:adjustRightInd w:val="0"/>
        <w:snapToGrid w:val="0"/>
        <w:spacing w:line="480" w:lineRule="auto"/>
        <w:jc w:val="center"/>
        <w:rPr>
          <w:b/>
          <w:color w:val="1F497D"/>
          <w:sz w:val="36"/>
        </w:rPr>
      </w:pPr>
    </w:p>
    <w:p>
      <w:pPr>
        <w:pStyle w:val="3"/>
        <w:jc w:val="center"/>
        <w:rPr>
          <w:rFonts w:asciiTheme="majorEastAsia" w:hAnsiTheme="majorEastAsia" w:eastAsiaTheme="majorEastAsia" w:cstheme="majorEastAsia"/>
          <w:sz w:val="52"/>
          <w:szCs w:val="44"/>
        </w:rPr>
      </w:pPr>
      <w:r>
        <w:rPr>
          <w:rFonts w:hint="eastAsia" w:asciiTheme="majorEastAsia" w:hAnsiTheme="majorEastAsia" w:eastAsiaTheme="majorEastAsia" w:cstheme="majorEastAsia"/>
          <w:sz w:val="52"/>
          <w:szCs w:val="44"/>
        </w:rPr>
        <w:t>安徽中冶淮海装配式建筑有限公司</w:t>
      </w:r>
    </w:p>
    <w:p>
      <w:pPr>
        <w:pStyle w:val="3"/>
        <w:jc w:val="center"/>
        <w:rPr>
          <w:rFonts w:hint="eastAsia" w:asciiTheme="majorEastAsia" w:hAnsiTheme="majorEastAsia" w:eastAsiaTheme="majorEastAsia" w:cstheme="majorEastAsia"/>
          <w:sz w:val="52"/>
          <w:szCs w:val="44"/>
        </w:rPr>
      </w:pPr>
      <w:r>
        <w:rPr>
          <w:rFonts w:hint="eastAsia" w:asciiTheme="majorEastAsia" w:hAnsiTheme="majorEastAsia" w:eastAsiaTheme="majorEastAsia" w:cstheme="majorEastAsia"/>
          <w:sz w:val="52"/>
          <w:szCs w:val="44"/>
        </w:rPr>
        <w:t>预制构件劳务承包服务</w:t>
      </w:r>
    </w:p>
    <w:p>
      <w:pPr>
        <w:pStyle w:val="3"/>
        <w:jc w:val="center"/>
        <w:rPr>
          <w:rFonts w:hint="default" w:asciiTheme="majorEastAsia" w:hAnsiTheme="majorEastAsia" w:eastAsiaTheme="majorEastAsia" w:cstheme="majorEastAsia"/>
          <w:sz w:val="52"/>
          <w:szCs w:val="44"/>
          <w:lang w:val="en-US" w:eastAsia="zh-CN"/>
        </w:rPr>
      </w:pPr>
      <w:r>
        <w:rPr>
          <w:rFonts w:hint="eastAsia" w:asciiTheme="majorEastAsia" w:hAnsiTheme="majorEastAsia" w:eastAsiaTheme="majorEastAsia" w:cstheme="majorEastAsia"/>
          <w:sz w:val="52"/>
          <w:szCs w:val="44"/>
        </w:rPr>
        <w:t>竞价文件</w:t>
      </w:r>
      <w:r>
        <w:rPr>
          <w:rFonts w:hint="eastAsia" w:asciiTheme="majorEastAsia" w:hAnsiTheme="majorEastAsia" w:eastAsiaTheme="majorEastAsia" w:cstheme="majorEastAsia"/>
          <w:sz w:val="52"/>
          <w:szCs w:val="44"/>
          <w:lang w:val="en-US" w:eastAsia="zh-CN"/>
        </w:rPr>
        <w:t>(二次)</w:t>
      </w:r>
    </w:p>
    <w:p>
      <w:pPr>
        <w:pStyle w:val="9"/>
        <w:ind w:left="0" w:leftChars="0"/>
        <w:jc w:val="center"/>
        <w:rPr>
          <w:rFonts w:ascii="黑体" w:eastAsia="黑体"/>
          <w:b/>
          <w:color w:val="993300"/>
          <w:sz w:val="48"/>
          <w:szCs w:val="48"/>
        </w:rPr>
      </w:pPr>
    </w:p>
    <w:p>
      <w:pPr>
        <w:pStyle w:val="9"/>
        <w:ind w:left="0" w:leftChars="0"/>
        <w:jc w:val="center"/>
        <w:rPr>
          <w:rFonts w:ascii="黑体" w:eastAsia="黑体"/>
          <w:b/>
          <w:color w:val="993300"/>
          <w:sz w:val="48"/>
          <w:szCs w:val="48"/>
        </w:rPr>
      </w:pPr>
    </w:p>
    <w:p>
      <w:pPr>
        <w:jc w:val="center"/>
        <w:rPr>
          <w:b/>
          <w:color w:val="000066"/>
          <w:sz w:val="32"/>
          <w:szCs w:val="32"/>
        </w:rPr>
      </w:pPr>
    </w:p>
    <w:p>
      <w:pPr>
        <w:jc w:val="center"/>
        <w:rPr>
          <w:b/>
          <w:color w:val="000066"/>
          <w:sz w:val="32"/>
          <w:szCs w:val="32"/>
        </w:rPr>
      </w:pPr>
    </w:p>
    <w:p>
      <w:pPr>
        <w:jc w:val="center"/>
        <w:rPr>
          <w:b/>
          <w:color w:val="000066"/>
          <w:sz w:val="32"/>
          <w:szCs w:val="32"/>
        </w:rPr>
      </w:pPr>
      <w:r>
        <w:rPr>
          <w:rFonts w:hint="eastAsia" w:ascii="方正小标宋简体" w:hAnsi="方正小标宋简体" w:eastAsia="方正小标宋简体" w:cs="方正小标宋简体"/>
          <w:b/>
        </w:rPr>
        <w:drawing>
          <wp:anchor distT="0" distB="0" distL="114300" distR="114300" simplePos="0" relativeHeight="251659264" behindDoc="0" locked="0" layoutInCell="1" allowOverlap="1">
            <wp:simplePos x="0" y="0"/>
            <wp:positionH relativeFrom="column">
              <wp:posOffset>1641475</wp:posOffset>
            </wp:positionH>
            <wp:positionV relativeFrom="paragraph">
              <wp:posOffset>170180</wp:posOffset>
            </wp:positionV>
            <wp:extent cx="2124710" cy="1961515"/>
            <wp:effectExtent l="0" t="0" r="8890" b="635"/>
            <wp:wrapNone/>
            <wp:docPr id="8"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descr="图片1"/>
                    <pic:cNvPicPr>
                      <a:picLocks noChangeAspect="1"/>
                    </pic:cNvPicPr>
                  </pic:nvPicPr>
                  <pic:blipFill>
                    <a:blip r:embed="rId5"/>
                    <a:stretch>
                      <a:fillRect/>
                    </a:stretch>
                  </pic:blipFill>
                  <pic:spPr>
                    <a:xfrm>
                      <a:off x="0" y="0"/>
                      <a:ext cx="2124710" cy="1961515"/>
                    </a:xfrm>
                    <a:prstGeom prst="rect">
                      <a:avLst/>
                    </a:prstGeom>
                    <a:noFill/>
                    <a:ln>
                      <a:noFill/>
                    </a:ln>
                  </pic:spPr>
                </pic:pic>
              </a:graphicData>
            </a:graphic>
          </wp:anchor>
        </w:drawing>
      </w:r>
    </w:p>
    <w:p>
      <w:pPr>
        <w:pStyle w:val="17"/>
        <w:ind w:firstLine="643"/>
        <w:rPr>
          <w:b/>
          <w:color w:val="000066"/>
          <w:sz w:val="32"/>
          <w:szCs w:val="32"/>
        </w:rPr>
      </w:pPr>
    </w:p>
    <w:p>
      <w:pPr>
        <w:pStyle w:val="17"/>
        <w:ind w:firstLine="643"/>
        <w:rPr>
          <w:b/>
          <w:color w:val="000066"/>
          <w:sz w:val="32"/>
          <w:szCs w:val="32"/>
        </w:rPr>
      </w:pPr>
    </w:p>
    <w:p>
      <w:pPr>
        <w:pStyle w:val="17"/>
        <w:ind w:firstLine="643"/>
        <w:rPr>
          <w:b/>
          <w:color w:val="000066"/>
          <w:sz w:val="32"/>
          <w:szCs w:val="32"/>
        </w:rPr>
      </w:pPr>
    </w:p>
    <w:p>
      <w:pPr>
        <w:pStyle w:val="17"/>
        <w:ind w:firstLine="643"/>
        <w:rPr>
          <w:b/>
          <w:color w:val="000066"/>
          <w:sz w:val="32"/>
          <w:szCs w:val="32"/>
        </w:rPr>
      </w:pPr>
      <w:r>
        <w:rPr>
          <w:rFonts w:hint="eastAsia"/>
          <w:b/>
          <w:color w:val="000066"/>
          <w:sz w:val="32"/>
          <w:szCs w:val="32"/>
        </w:rPr>
        <w:t xml:space="preserve">         </w:t>
      </w:r>
    </w:p>
    <w:p>
      <w:pPr>
        <w:pStyle w:val="17"/>
        <w:ind w:firstLine="643"/>
        <w:rPr>
          <w:b/>
          <w:color w:val="000066"/>
          <w:sz w:val="32"/>
          <w:szCs w:val="32"/>
        </w:rPr>
      </w:pPr>
    </w:p>
    <w:p>
      <w:pPr>
        <w:pStyle w:val="17"/>
        <w:ind w:firstLine="643"/>
        <w:rPr>
          <w:b/>
          <w:color w:val="000066"/>
          <w:sz w:val="32"/>
          <w:szCs w:val="32"/>
        </w:rPr>
      </w:pPr>
    </w:p>
    <w:p>
      <w:pPr>
        <w:pStyle w:val="17"/>
        <w:ind w:firstLine="643"/>
        <w:rPr>
          <w:b/>
          <w:color w:val="000066"/>
          <w:sz w:val="32"/>
          <w:szCs w:val="32"/>
        </w:rPr>
      </w:pPr>
    </w:p>
    <w:p>
      <w:pPr>
        <w:spacing w:line="360" w:lineRule="auto"/>
        <w:ind w:firstLine="960" w:firstLineChars="300"/>
        <w:rPr>
          <w:rFonts w:ascii="仿宋_GB2312" w:hAnsi="仿宋_GB2312" w:eastAsia="仿宋_GB2312" w:cs="仿宋_GB2312"/>
          <w:sz w:val="32"/>
          <w:szCs w:val="32"/>
        </w:rPr>
      </w:pPr>
      <w:r>
        <w:rPr>
          <w:rFonts w:hint="eastAsia" w:ascii="仿宋_GB2312" w:hAnsi="仿宋_GB2312" w:eastAsia="仿宋_GB2312" w:cs="仿宋_GB2312"/>
          <w:sz w:val="32"/>
          <w:szCs w:val="32"/>
        </w:rPr>
        <w:t>发 包 人：安徽中冶淮海装配式建筑有限公司</w:t>
      </w:r>
    </w:p>
    <w:p>
      <w:pPr>
        <w:spacing w:line="360" w:lineRule="auto"/>
        <w:ind w:firstLine="960" w:firstLineChars="300"/>
        <w:rPr>
          <w:rFonts w:eastAsia="仿宋_GB2312"/>
        </w:rPr>
      </w:pPr>
      <w:r>
        <w:rPr>
          <w:rFonts w:hint="eastAsia" w:ascii="仿宋_GB2312" w:hAnsi="仿宋_GB2312" w:eastAsia="仿宋_GB2312" w:cs="仿宋_GB2312"/>
          <w:sz w:val="32"/>
          <w:szCs w:val="32"/>
        </w:rPr>
        <w:t>竞价编号：ZYHH(JG)-LWJJ-2023</w:t>
      </w:r>
      <w:r>
        <w:rPr>
          <w:rFonts w:hint="eastAsia" w:ascii="仿宋_GB2312" w:hAnsi="仿宋_GB2312" w:eastAsia="仿宋_GB2312" w:cs="仿宋_GB2312"/>
          <w:sz w:val="32"/>
          <w:szCs w:val="32"/>
          <w:lang w:val="en-US" w:eastAsia="zh-CN"/>
        </w:rPr>
        <w:t>0207</w:t>
      </w:r>
      <w:r>
        <w:rPr>
          <w:rFonts w:hint="eastAsia" w:ascii="仿宋_GB2312" w:hAnsi="仿宋_GB2312" w:eastAsia="仿宋_GB2312" w:cs="仿宋_GB2312"/>
          <w:sz w:val="32"/>
          <w:szCs w:val="32"/>
        </w:rPr>
        <w:t xml:space="preserve">-001 </w:t>
      </w:r>
    </w:p>
    <w:p>
      <w:pPr>
        <w:pStyle w:val="17"/>
        <w:ind w:firstLine="640"/>
        <w:rPr>
          <w:rFonts w:ascii="宋体"/>
          <w:b/>
          <w:sz w:val="24"/>
        </w:rPr>
      </w:pPr>
      <w:r>
        <w:rPr>
          <w:rFonts w:hint="eastAsia" w:ascii="仿宋_GB2312" w:hAnsi="仿宋_GB2312" w:eastAsia="仿宋_GB2312" w:cs="仿宋_GB2312"/>
          <w:sz w:val="32"/>
          <w:szCs w:val="32"/>
        </w:rPr>
        <w:t xml:space="preserve">  </w:t>
      </w:r>
    </w:p>
    <w:p>
      <w:pPr>
        <w:pStyle w:val="26"/>
        <w:snapToGrid w:val="0"/>
        <w:spacing w:line="500" w:lineRule="exact"/>
        <w:ind w:firstLine="602" w:firstLineChars="200"/>
        <w:rPr>
          <w:rStyle w:val="25"/>
          <w:rFonts w:ascii="宋体" w:hAnsi="宋体" w:cs="宋体"/>
          <w:sz w:val="30"/>
          <w:szCs w:val="30"/>
        </w:rPr>
      </w:pPr>
      <w:r>
        <w:rPr>
          <w:rStyle w:val="25"/>
          <w:rFonts w:hint="eastAsia" w:ascii="宋体" w:hAnsi="宋体" w:cs="宋体"/>
          <w:sz w:val="30"/>
          <w:szCs w:val="30"/>
        </w:rPr>
        <w:t>一、报价单位具备条件</w:t>
      </w:r>
    </w:p>
    <w:p>
      <w:pPr>
        <w:snapToGrid w:val="0"/>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1、具有独立承担民事责任独立法人及有效的营业执照。</w:t>
      </w:r>
    </w:p>
    <w:p>
      <w:pPr>
        <w:snapToGrid w:val="0"/>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2、具有预制构件劳务作业能力，且无重大质量安全事故。</w:t>
      </w:r>
    </w:p>
    <w:p>
      <w:pPr>
        <w:snapToGrid w:val="0"/>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 xml:space="preserve">3、近三年（2019 年 1 月 1 日至今）至少 1 项相同或类似预制构件劳务承包业绩（提供合同复印件，以合同签订日期为准，并接受发包人实地考察在建项目）。 </w:t>
      </w:r>
    </w:p>
    <w:p>
      <w:pPr>
        <w:snapToGrid w:val="0"/>
        <w:spacing w:line="440" w:lineRule="exact"/>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4、不接受联合体报价。</w:t>
      </w:r>
    </w:p>
    <w:p>
      <w:pPr>
        <w:pStyle w:val="26"/>
        <w:snapToGrid w:val="0"/>
        <w:spacing w:line="500" w:lineRule="exact"/>
        <w:ind w:firstLine="602" w:firstLineChars="200"/>
        <w:rPr>
          <w:rStyle w:val="25"/>
          <w:rFonts w:ascii="宋体" w:hAnsi="宋体" w:cs="宋体"/>
          <w:sz w:val="30"/>
          <w:szCs w:val="30"/>
        </w:rPr>
      </w:pPr>
      <w:r>
        <w:rPr>
          <w:rStyle w:val="25"/>
          <w:rFonts w:hint="eastAsia" w:ascii="宋体" w:hAnsi="宋体" w:cs="宋体"/>
          <w:sz w:val="30"/>
          <w:szCs w:val="30"/>
        </w:rPr>
        <w:t>二、 竞价说明</w:t>
      </w:r>
    </w:p>
    <w:p>
      <w:pPr>
        <w:snapToGrid w:val="0"/>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1、竞价开始时间：2023年</w:t>
      </w:r>
      <w:r>
        <w:rPr>
          <w:rFonts w:hint="eastAsia" w:asciiTheme="minorEastAsia" w:hAnsiTheme="minorEastAsia" w:eastAsiaTheme="minorEastAsia"/>
          <w:sz w:val="24"/>
          <w:lang w:val="en-US" w:eastAsia="zh-CN"/>
        </w:rPr>
        <w:t>2</w:t>
      </w:r>
      <w:r>
        <w:rPr>
          <w:rFonts w:hint="eastAsia" w:asciiTheme="minorEastAsia" w:hAnsiTheme="minorEastAsia" w:eastAsiaTheme="minorEastAsia"/>
          <w:sz w:val="24"/>
        </w:rPr>
        <w:t>月</w:t>
      </w:r>
      <w:r>
        <w:rPr>
          <w:rFonts w:hint="eastAsia" w:asciiTheme="minorEastAsia" w:hAnsiTheme="minorEastAsia" w:eastAsiaTheme="minorEastAsia"/>
          <w:sz w:val="24"/>
          <w:lang w:val="en-US" w:eastAsia="zh-CN"/>
        </w:rPr>
        <w:t>7</w:t>
      </w:r>
      <w:r>
        <w:rPr>
          <w:rFonts w:hint="eastAsia" w:asciiTheme="minorEastAsia" w:hAnsiTheme="minorEastAsia" w:eastAsiaTheme="minorEastAsia"/>
          <w:sz w:val="24"/>
        </w:rPr>
        <w:t>日1</w:t>
      </w:r>
      <w:r>
        <w:rPr>
          <w:rFonts w:hint="eastAsia" w:asciiTheme="minorEastAsia" w:hAnsiTheme="minorEastAsia" w:eastAsiaTheme="minorEastAsia"/>
          <w:sz w:val="24"/>
          <w:lang w:val="en-US" w:eastAsia="zh-CN"/>
        </w:rPr>
        <w:t>0</w:t>
      </w:r>
      <w:r>
        <w:rPr>
          <w:rFonts w:hint="eastAsia" w:asciiTheme="minorEastAsia" w:hAnsiTheme="minorEastAsia" w:eastAsiaTheme="minorEastAsia"/>
          <w:sz w:val="24"/>
        </w:rPr>
        <w:t>:00时</w:t>
      </w:r>
    </w:p>
    <w:p>
      <w:pPr>
        <w:snapToGrid w:val="0"/>
        <w:spacing w:line="440" w:lineRule="exact"/>
        <w:ind w:firstLine="720" w:firstLineChars="300"/>
        <w:rPr>
          <w:rFonts w:asciiTheme="minorEastAsia" w:hAnsiTheme="minorEastAsia" w:eastAsiaTheme="minorEastAsia"/>
          <w:sz w:val="24"/>
        </w:rPr>
      </w:pPr>
      <w:r>
        <w:rPr>
          <w:rFonts w:hint="eastAsia" w:asciiTheme="minorEastAsia" w:hAnsiTheme="minorEastAsia" w:eastAsiaTheme="minorEastAsia"/>
          <w:sz w:val="24"/>
        </w:rPr>
        <w:t>竞价截止时间：2023年</w:t>
      </w:r>
      <w:r>
        <w:rPr>
          <w:rFonts w:hint="eastAsia" w:asciiTheme="minorEastAsia" w:hAnsiTheme="minorEastAsia" w:eastAsiaTheme="minorEastAsia"/>
          <w:sz w:val="24"/>
          <w:lang w:val="en-US" w:eastAsia="zh-CN"/>
        </w:rPr>
        <w:t>2</w:t>
      </w:r>
      <w:r>
        <w:rPr>
          <w:rFonts w:hint="eastAsia" w:asciiTheme="minorEastAsia" w:hAnsiTheme="minorEastAsia" w:eastAsiaTheme="minorEastAsia"/>
          <w:sz w:val="24"/>
        </w:rPr>
        <w:t>月</w:t>
      </w:r>
      <w:r>
        <w:rPr>
          <w:rFonts w:hint="eastAsia" w:asciiTheme="minorEastAsia" w:hAnsiTheme="minorEastAsia" w:eastAsiaTheme="minorEastAsia"/>
          <w:sz w:val="24"/>
          <w:lang w:val="en-US" w:eastAsia="zh-CN"/>
        </w:rPr>
        <w:t>13</w:t>
      </w:r>
      <w:r>
        <w:rPr>
          <w:rFonts w:hint="eastAsia" w:asciiTheme="minorEastAsia" w:hAnsiTheme="minorEastAsia" w:eastAsiaTheme="minorEastAsia"/>
          <w:sz w:val="24"/>
        </w:rPr>
        <w:t>日1</w:t>
      </w:r>
      <w:r>
        <w:rPr>
          <w:rFonts w:asciiTheme="minorEastAsia" w:hAnsiTheme="minorEastAsia" w:eastAsiaTheme="minorEastAsia"/>
          <w:sz w:val="24"/>
        </w:rPr>
        <w:t>0</w:t>
      </w:r>
      <w:r>
        <w:rPr>
          <w:rFonts w:hint="eastAsia" w:asciiTheme="minorEastAsia" w:hAnsiTheme="minorEastAsia" w:eastAsiaTheme="minorEastAsia"/>
          <w:sz w:val="24"/>
        </w:rPr>
        <w:t>:00时</w:t>
      </w:r>
    </w:p>
    <w:p>
      <w:pPr>
        <w:snapToGrid w:val="0"/>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2、竞价方式：线下竞价</w:t>
      </w:r>
    </w:p>
    <w:p>
      <w:pPr>
        <w:snapToGrid w:val="0"/>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 xml:space="preserve">3、联 系人：郭磊    </w:t>
      </w:r>
    </w:p>
    <w:p>
      <w:pPr>
        <w:snapToGrid w:val="0"/>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联系方式：18205612262</w:t>
      </w:r>
    </w:p>
    <w:p>
      <w:pPr>
        <w:snapToGrid w:val="0"/>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 xml:space="preserve">收 款 人：安徽中冶淮海装配式建筑有限公司       </w:t>
      </w:r>
    </w:p>
    <w:p>
      <w:pPr>
        <w:snapToGrid w:val="0"/>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 xml:space="preserve">开户银行：徽商银行淮北相城支行         </w:t>
      </w:r>
    </w:p>
    <w:p>
      <w:pPr>
        <w:snapToGrid w:val="0"/>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 xml:space="preserve">账    号： 1331301021000355909  </w:t>
      </w:r>
    </w:p>
    <w:p>
      <w:pPr>
        <w:snapToGrid w:val="0"/>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 xml:space="preserve">4、地    址：安徽省淮北市杜集区经济开发区紫藤北路西20米  </w:t>
      </w:r>
    </w:p>
    <w:p>
      <w:pPr>
        <w:snapToGrid w:val="0"/>
        <w:spacing w:line="440" w:lineRule="exact"/>
        <w:ind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rPr>
        <w:t>5、</w:t>
      </w:r>
      <w:r>
        <w:rPr>
          <w:rFonts w:hint="eastAsia" w:asciiTheme="minorEastAsia" w:hAnsiTheme="minorEastAsia" w:eastAsiaTheme="minorEastAsia"/>
          <w:sz w:val="24"/>
          <w:highlight w:val="none"/>
        </w:rPr>
        <w:t>竞价内容：</w:t>
      </w:r>
      <w:r>
        <w:rPr>
          <w:rFonts w:hint="eastAsia" w:asciiTheme="minorEastAsia" w:hAnsiTheme="minorEastAsia" w:eastAsiaTheme="minorEastAsia"/>
          <w:sz w:val="24"/>
          <w:highlight w:val="none"/>
          <w:lang w:eastAsia="zh-CN"/>
        </w:rPr>
        <w:t>标段一</w:t>
      </w:r>
      <w:r>
        <w:rPr>
          <w:rFonts w:hint="eastAsia" w:asciiTheme="minorEastAsia" w:hAnsiTheme="minorEastAsia" w:eastAsiaTheme="minorEastAsia"/>
          <w:sz w:val="24"/>
          <w:highlight w:val="none"/>
          <w:lang w:val="en-US" w:eastAsia="zh-CN"/>
        </w:rPr>
        <w:t xml:space="preserve">   合肥国贸项目、</w:t>
      </w:r>
      <w:r>
        <w:rPr>
          <w:rFonts w:hint="eastAsia" w:asciiTheme="minorEastAsia" w:hAnsiTheme="minorEastAsia" w:eastAsiaTheme="minorEastAsia" w:cstheme="minorEastAsia"/>
          <w:color w:val="auto"/>
          <w:kern w:val="0"/>
          <w:sz w:val="24"/>
          <w:szCs w:val="24"/>
          <w:highlight w:val="none"/>
          <w:u w:val="none"/>
          <w:lang w:val="zh-CN"/>
        </w:rPr>
        <w:t>蚌埠学院项目</w:t>
      </w:r>
      <w:r>
        <w:rPr>
          <w:rFonts w:hint="eastAsia" w:asciiTheme="minorEastAsia" w:hAnsiTheme="minorEastAsia" w:eastAsiaTheme="minorEastAsia"/>
          <w:sz w:val="24"/>
          <w:highlight w:val="none"/>
        </w:rPr>
        <w:t>预制构件劳务承包服务</w:t>
      </w:r>
    </w:p>
    <w:p>
      <w:pPr>
        <w:pStyle w:val="7"/>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lang w:val="en-US" w:eastAsia="zh-CN"/>
        </w:rPr>
        <w:t xml:space="preserve">                 标段二   </w:t>
      </w:r>
      <w:r>
        <w:rPr>
          <w:rFonts w:hint="eastAsia" w:asciiTheme="minorEastAsia" w:hAnsiTheme="minorEastAsia" w:eastAsiaTheme="minorEastAsia" w:cstheme="minorEastAsia"/>
          <w:color w:val="auto"/>
          <w:kern w:val="0"/>
          <w:sz w:val="24"/>
          <w:szCs w:val="24"/>
          <w:highlight w:val="none"/>
          <w:u w:val="none"/>
          <w:lang w:val="zh-CN"/>
        </w:rPr>
        <w:t>合肥XZ202112地块项目</w:t>
      </w:r>
      <w:r>
        <w:rPr>
          <w:rFonts w:hint="eastAsia" w:asciiTheme="minorEastAsia" w:hAnsiTheme="minorEastAsia" w:eastAsiaTheme="minorEastAsia"/>
          <w:sz w:val="24"/>
          <w:highlight w:val="none"/>
        </w:rPr>
        <w:t>预制构件劳务承包服务</w:t>
      </w:r>
    </w:p>
    <w:p>
      <w:pPr>
        <w:pStyle w:val="7"/>
        <w:rPr>
          <w:rFonts w:hint="default" w:asciiTheme="minorEastAsia" w:hAnsiTheme="minorEastAsia" w:eastAsiaTheme="minorEastAsia"/>
          <w:sz w:val="24"/>
          <w:highlight w:val="none"/>
          <w:lang w:val="en-US" w:eastAsia="zh-CN"/>
        </w:rPr>
      </w:pPr>
      <w:r>
        <w:rPr>
          <w:rFonts w:hint="eastAsia" w:asciiTheme="minorEastAsia" w:hAnsiTheme="minorEastAsia" w:eastAsiaTheme="minorEastAsia"/>
          <w:sz w:val="24"/>
          <w:highlight w:val="none"/>
          <w:lang w:val="en-US" w:eastAsia="zh-CN"/>
        </w:rPr>
        <w:t xml:space="preserve">      报价人在参与报价时可以只参加一个标段竞价，也可以同时参与二个标段的报价。</w:t>
      </w:r>
    </w:p>
    <w:p>
      <w:pPr>
        <w:pStyle w:val="17"/>
        <w:numPr>
          <w:ilvl w:val="0"/>
          <w:numId w:val="1"/>
        </w:numPr>
        <w:spacing w:line="440" w:lineRule="exact"/>
        <w:ind w:firstLine="480"/>
        <w:rPr>
          <w:rFonts w:hint="eastAsia" w:asciiTheme="minorEastAsia" w:hAnsiTheme="minorEastAsia" w:eastAsiaTheme="minorEastAsia"/>
          <w:sz w:val="24"/>
          <w:lang w:eastAsia="zh-CN"/>
        </w:rPr>
      </w:pPr>
      <w:r>
        <w:rPr>
          <w:rFonts w:hint="eastAsia" w:asciiTheme="minorEastAsia" w:hAnsiTheme="minorEastAsia" w:eastAsiaTheme="minorEastAsia"/>
          <w:sz w:val="24"/>
        </w:rPr>
        <w:t>最高控制价：</w:t>
      </w:r>
    </w:p>
    <w:p>
      <w:pPr>
        <w:pStyle w:val="17"/>
        <w:widowControl w:val="0"/>
        <w:numPr>
          <w:ilvl w:val="0"/>
          <w:numId w:val="0"/>
        </w:numPr>
        <w:spacing w:line="440" w:lineRule="exact"/>
        <w:jc w:val="both"/>
        <w:rPr>
          <w:rFonts w:hint="eastAsia" w:asciiTheme="minorEastAsia" w:hAnsiTheme="minorEastAsia" w:eastAsiaTheme="minorEastAsia"/>
          <w:sz w:val="24"/>
        </w:rPr>
      </w:pPr>
    </w:p>
    <w:p>
      <w:pPr>
        <w:pStyle w:val="17"/>
        <w:widowControl w:val="0"/>
        <w:numPr>
          <w:ilvl w:val="0"/>
          <w:numId w:val="0"/>
        </w:numPr>
        <w:spacing w:line="440" w:lineRule="exact"/>
        <w:jc w:val="both"/>
        <w:rPr>
          <w:rFonts w:hint="eastAsia" w:asciiTheme="minorEastAsia" w:hAnsiTheme="minorEastAsia" w:eastAsiaTheme="minorEastAsia"/>
          <w:sz w:val="24"/>
        </w:rPr>
      </w:pPr>
    </w:p>
    <w:p>
      <w:pPr>
        <w:pStyle w:val="17"/>
        <w:widowControl w:val="0"/>
        <w:numPr>
          <w:ilvl w:val="0"/>
          <w:numId w:val="0"/>
        </w:numPr>
        <w:spacing w:line="440" w:lineRule="exact"/>
        <w:jc w:val="both"/>
        <w:rPr>
          <w:rFonts w:hint="eastAsia" w:asciiTheme="minorEastAsia" w:hAnsiTheme="minorEastAsia" w:eastAsiaTheme="minorEastAsia"/>
          <w:sz w:val="24"/>
        </w:rPr>
      </w:pPr>
    </w:p>
    <w:p>
      <w:pPr>
        <w:pStyle w:val="17"/>
        <w:widowControl w:val="0"/>
        <w:numPr>
          <w:ilvl w:val="0"/>
          <w:numId w:val="0"/>
        </w:numPr>
        <w:spacing w:line="440" w:lineRule="exact"/>
        <w:jc w:val="both"/>
        <w:rPr>
          <w:rFonts w:hint="eastAsia" w:asciiTheme="minorEastAsia" w:hAnsiTheme="minorEastAsia" w:eastAsiaTheme="minorEastAsia"/>
          <w:sz w:val="24"/>
        </w:rPr>
      </w:pPr>
    </w:p>
    <w:p>
      <w:pPr>
        <w:pStyle w:val="17"/>
        <w:widowControl w:val="0"/>
        <w:numPr>
          <w:ilvl w:val="0"/>
          <w:numId w:val="0"/>
        </w:numPr>
        <w:spacing w:line="440" w:lineRule="exact"/>
        <w:jc w:val="both"/>
        <w:rPr>
          <w:rFonts w:hint="eastAsia" w:asciiTheme="minorEastAsia" w:hAnsiTheme="minorEastAsia" w:eastAsiaTheme="minorEastAsia"/>
          <w:sz w:val="24"/>
          <w:lang w:eastAsia="zh-CN"/>
        </w:rPr>
      </w:pPr>
    </w:p>
    <w:p>
      <w:pPr>
        <w:pStyle w:val="17"/>
        <w:numPr>
          <w:ilvl w:val="0"/>
          <w:numId w:val="0"/>
        </w:numPr>
        <w:spacing w:line="440" w:lineRule="exact"/>
        <w:ind w:firstLine="480" w:firstLineChars="200"/>
        <w:rPr>
          <w:rFonts w:hint="eastAsia" w:asciiTheme="minorEastAsia" w:hAnsiTheme="minorEastAsia" w:eastAsiaTheme="minorEastAsia"/>
          <w:sz w:val="24"/>
          <w:lang w:eastAsia="zh-CN"/>
        </w:rPr>
      </w:pPr>
      <w:r>
        <w:rPr>
          <w:rFonts w:hint="eastAsia" w:asciiTheme="minorEastAsia" w:hAnsiTheme="minorEastAsia" w:eastAsiaTheme="minorEastAsia"/>
          <w:sz w:val="24"/>
          <w:lang w:eastAsia="zh-CN"/>
        </w:rPr>
        <w:t>标段一控制价</w:t>
      </w:r>
    </w:p>
    <w:tbl>
      <w:tblPr>
        <w:tblStyle w:val="14"/>
        <w:tblW w:w="7561" w:type="dxa"/>
        <w:jc w:val="center"/>
        <w:tblLayout w:type="fixed"/>
        <w:tblCellMar>
          <w:top w:w="0" w:type="dxa"/>
          <w:left w:w="10" w:type="dxa"/>
          <w:bottom w:w="0" w:type="dxa"/>
          <w:right w:w="10" w:type="dxa"/>
        </w:tblCellMar>
      </w:tblPr>
      <w:tblGrid>
        <w:gridCol w:w="1170"/>
        <w:gridCol w:w="1855"/>
        <w:gridCol w:w="1512"/>
        <w:gridCol w:w="1512"/>
        <w:gridCol w:w="1512"/>
      </w:tblGrid>
      <w:tr>
        <w:tblPrEx>
          <w:tblCellMar>
            <w:top w:w="0" w:type="dxa"/>
            <w:left w:w="10" w:type="dxa"/>
            <w:bottom w:w="0" w:type="dxa"/>
            <w:right w:w="10" w:type="dxa"/>
          </w:tblCellMar>
        </w:tblPrEx>
        <w:trPr>
          <w:trHeight w:val="737" w:hRule="exact"/>
          <w:jc w:val="center"/>
        </w:trPr>
        <w:tc>
          <w:tcPr>
            <w:tcW w:w="1170" w:type="dxa"/>
            <w:tcBorders>
              <w:top w:val="single" w:color="auto" w:sz="4" w:space="0"/>
              <w:left w:val="single" w:color="auto" w:sz="4" w:space="0"/>
            </w:tcBorders>
            <w:shd w:val="clear" w:color="auto" w:fill="FFFFFF"/>
            <w:vAlign w:val="center"/>
          </w:tcPr>
          <w:p>
            <w:pPr>
              <w:spacing w:line="560" w:lineRule="exact"/>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序号</w:t>
            </w:r>
          </w:p>
        </w:tc>
        <w:tc>
          <w:tcPr>
            <w:tcW w:w="1855" w:type="dxa"/>
            <w:tcBorders>
              <w:top w:val="single" w:color="auto" w:sz="4" w:space="0"/>
              <w:left w:val="single" w:color="auto" w:sz="4" w:space="0"/>
            </w:tcBorders>
            <w:shd w:val="clear" w:color="auto" w:fill="FFFFFF"/>
            <w:vAlign w:val="center"/>
          </w:tcPr>
          <w:p>
            <w:pPr>
              <w:spacing w:line="560" w:lineRule="exact"/>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构件名称</w:t>
            </w:r>
          </w:p>
        </w:tc>
        <w:tc>
          <w:tcPr>
            <w:tcW w:w="1512" w:type="dxa"/>
            <w:tcBorders>
              <w:top w:val="single" w:color="auto" w:sz="4" w:space="0"/>
              <w:left w:val="single" w:color="auto" w:sz="4" w:space="0"/>
            </w:tcBorders>
            <w:shd w:val="clear" w:color="auto" w:fill="FFFFFF"/>
            <w:vAlign w:val="center"/>
          </w:tcPr>
          <w:p>
            <w:pPr>
              <w:spacing w:line="560" w:lineRule="exact"/>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单位</w:t>
            </w:r>
          </w:p>
        </w:tc>
        <w:tc>
          <w:tcPr>
            <w:tcW w:w="1512" w:type="dxa"/>
            <w:tcBorders>
              <w:top w:val="single" w:color="auto" w:sz="4" w:space="0"/>
              <w:left w:val="single" w:color="auto" w:sz="4" w:space="0"/>
              <w:right w:val="single" w:color="auto" w:sz="4" w:space="0"/>
            </w:tcBorders>
            <w:shd w:val="clear" w:color="auto" w:fill="FFFFFF"/>
            <w:vAlign w:val="center"/>
          </w:tcPr>
          <w:p>
            <w:pPr>
              <w:spacing w:line="400" w:lineRule="exact"/>
              <w:ind w:firstLine="240" w:firstLineChars="100"/>
              <w:jc w:val="left"/>
            </w:pPr>
            <w:r>
              <w:rPr>
                <w:rFonts w:hint="eastAsia" w:asciiTheme="minorEastAsia" w:hAnsiTheme="minorEastAsia" w:eastAsiaTheme="minorEastAsia" w:cstheme="minorEastAsia"/>
                <w:kern w:val="0"/>
                <w:sz w:val="24"/>
              </w:rPr>
              <w:t>构件占比</w:t>
            </w:r>
          </w:p>
        </w:tc>
        <w:tc>
          <w:tcPr>
            <w:tcW w:w="1512" w:type="dxa"/>
            <w:tcBorders>
              <w:top w:val="single" w:color="auto" w:sz="4" w:space="0"/>
              <w:left w:val="single" w:color="auto" w:sz="4" w:space="0"/>
              <w:right w:val="single" w:color="auto" w:sz="4" w:space="0"/>
            </w:tcBorders>
            <w:shd w:val="clear" w:color="auto" w:fill="FFFFFF"/>
            <w:vAlign w:val="center"/>
          </w:tcPr>
          <w:p>
            <w:pPr>
              <w:spacing w:line="560" w:lineRule="exact"/>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控制价</w:t>
            </w:r>
          </w:p>
        </w:tc>
      </w:tr>
      <w:tr>
        <w:tblPrEx>
          <w:tblCellMar>
            <w:top w:w="0" w:type="dxa"/>
            <w:left w:w="10" w:type="dxa"/>
            <w:bottom w:w="0" w:type="dxa"/>
            <w:right w:w="10" w:type="dxa"/>
          </w:tblCellMar>
        </w:tblPrEx>
        <w:trPr>
          <w:trHeight w:val="737" w:hRule="exact"/>
          <w:jc w:val="center"/>
        </w:trPr>
        <w:tc>
          <w:tcPr>
            <w:tcW w:w="1170" w:type="dxa"/>
            <w:tcBorders>
              <w:top w:val="single" w:color="auto" w:sz="4" w:space="0"/>
              <w:left w:val="single" w:color="auto" w:sz="4" w:space="0"/>
            </w:tcBorders>
            <w:shd w:val="clear" w:color="auto" w:fill="FFFFFF"/>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1</w:t>
            </w:r>
          </w:p>
        </w:tc>
        <w:tc>
          <w:tcPr>
            <w:tcW w:w="1855" w:type="dxa"/>
            <w:tcBorders>
              <w:top w:val="single" w:color="auto" w:sz="4" w:space="0"/>
              <w:left w:val="single" w:color="auto" w:sz="4" w:space="0"/>
            </w:tcBorders>
            <w:shd w:val="clear" w:color="auto" w:fill="FFFFFF"/>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预制叠合板</w:t>
            </w:r>
          </w:p>
        </w:tc>
        <w:tc>
          <w:tcPr>
            <w:tcW w:w="1512" w:type="dxa"/>
            <w:tcBorders>
              <w:top w:val="single" w:color="auto" w:sz="4" w:space="0"/>
              <w:left w:val="single" w:color="auto" w:sz="4" w:space="0"/>
            </w:tcBorders>
            <w:shd w:val="clear" w:color="auto" w:fill="FFFFFF"/>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M³</w:t>
            </w:r>
          </w:p>
        </w:tc>
        <w:tc>
          <w:tcPr>
            <w:tcW w:w="1512" w:type="dxa"/>
            <w:tcBorders>
              <w:top w:val="single" w:color="auto" w:sz="4" w:space="0"/>
              <w:left w:val="single" w:color="auto" w:sz="4" w:space="0"/>
              <w:right w:val="single" w:color="auto" w:sz="4" w:space="0"/>
            </w:tcBorders>
            <w:shd w:val="clear" w:color="auto" w:fill="FFFFFF"/>
            <w:vAlign w:val="center"/>
          </w:tcPr>
          <w:p>
            <w:pPr>
              <w:spacing w:line="560" w:lineRule="exact"/>
              <w:jc w:val="center"/>
              <w:rPr>
                <w:sz w:val="28"/>
                <w:szCs w:val="36"/>
              </w:rPr>
            </w:pPr>
            <w:r>
              <w:rPr>
                <w:rFonts w:hint="eastAsia"/>
                <w:sz w:val="28"/>
                <w:szCs w:val="36"/>
                <w:lang w:val="en-US" w:eastAsia="zh-CN"/>
              </w:rPr>
              <w:t>20</w:t>
            </w:r>
            <w:r>
              <w:rPr>
                <w:rFonts w:hint="eastAsia"/>
                <w:sz w:val="28"/>
                <w:szCs w:val="36"/>
              </w:rPr>
              <w:t>%</w:t>
            </w:r>
          </w:p>
        </w:tc>
        <w:tc>
          <w:tcPr>
            <w:tcW w:w="1512" w:type="dxa"/>
            <w:tcBorders>
              <w:top w:val="single" w:color="auto" w:sz="4" w:space="0"/>
              <w:left w:val="single" w:color="auto" w:sz="4" w:space="0"/>
              <w:right w:val="single" w:color="auto" w:sz="4" w:space="0"/>
            </w:tcBorders>
            <w:shd w:val="clear" w:color="auto" w:fill="FFFFFF"/>
            <w:vAlign w:val="center"/>
          </w:tcPr>
          <w:p>
            <w:pPr>
              <w:spacing w:line="560" w:lineRule="exact"/>
              <w:ind w:firstLine="560" w:firstLineChars="200"/>
              <w:jc w:val="left"/>
              <w:rPr>
                <w:rFonts w:hint="default" w:eastAsia="宋体"/>
                <w:sz w:val="28"/>
                <w:szCs w:val="36"/>
                <w:lang w:val="en-US" w:eastAsia="zh-CN"/>
              </w:rPr>
            </w:pPr>
            <w:r>
              <w:rPr>
                <w:rFonts w:hint="eastAsia"/>
                <w:sz w:val="28"/>
                <w:szCs w:val="36"/>
                <w:lang w:val="en-US" w:eastAsia="zh-CN"/>
              </w:rPr>
              <w:t>355</w:t>
            </w:r>
          </w:p>
        </w:tc>
      </w:tr>
      <w:tr>
        <w:tblPrEx>
          <w:tblCellMar>
            <w:top w:w="0" w:type="dxa"/>
            <w:left w:w="10" w:type="dxa"/>
            <w:bottom w:w="0" w:type="dxa"/>
            <w:right w:w="10" w:type="dxa"/>
          </w:tblCellMar>
        </w:tblPrEx>
        <w:trPr>
          <w:trHeight w:val="737" w:hRule="exact"/>
          <w:jc w:val="center"/>
        </w:trPr>
        <w:tc>
          <w:tcPr>
            <w:tcW w:w="1170" w:type="dxa"/>
            <w:tcBorders>
              <w:top w:val="single" w:color="auto" w:sz="4" w:space="0"/>
              <w:left w:val="single" w:color="auto" w:sz="4" w:space="0"/>
            </w:tcBorders>
            <w:shd w:val="clear" w:color="auto" w:fill="FFFFFF"/>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2</w:t>
            </w:r>
          </w:p>
        </w:tc>
        <w:tc>
          <w:tcPr>
            <w:tcW w:w="1855" w:type="dxa"/>
            <w:tcBorders>
              <w:top w:val="single" w:color="auto" w:sz="4" w:space="0"/>
              <w:left w:val="single" w:color="auto" w:sz="4" w:space="0"/>
            </w:tcBorders>
            <w:shd w:val="clear" w:color="auto" w:fill="FFFFFF"/>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预制楼梯</w:t>
            </w:r>
          </w:p>
        </w:tc>
        <w:tc>
          <w:tcPr>
            <w:tcW w:w="1512" w:type="dxa"/>
            <w:tcBorders>
              <w:top w:val="single" w:color="auto" w:sz="4" w:space="0"/>
              <w:left w:val="single" w:color="auto" w:sz="4" w:space="0"/>
            </w:tcBorders>
            <w:shd w:val="clear" w:color="auto" w:fill="FFFFFF"/>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M³</w:t>
            </w:r>
          </w:p>
        </w:tc>
        <w:tc>
          <w:tcPr>
            <w:tcW w:w="1512" w:type="dxa"/>
            <w:tcBorders>
              <w:top w:val="single" w:color="auto" w:sz="4" w:space="0"/>
              <w:left w:val="single" w:color="auto" w:sz="4" w:space="0"/>
              <w:right w:val="single" w:color="auto" w:sz="4" w:space="0"/>
            </w:tcBorders>
            <w:shd w:val="clear" w:color="auto" w:fill="FFFFFF"/>
            <w:vAlign w:val="center"/>
          </w:tcPr>
          <w:p>
            <w:pPr>
              <w:spacing w:line="560" w:lineRule="exact"/>
              <w:jc w:val="center"/>
              <w:rPr>
                <w:sz w:val="28"/>
                <w:szCs w:val="36"/>
              </w:rPr>
            </w:pPr>
            <w:r>
              <w:rPr>
                <w:rFonts w:hint="eastAsia"/>
                <w:sz w:val="28"/>
                <w:szCs w:val="36"/>
                <w:lang w:val="en-US" w:eastAsia="zh-CN"/>
              </w:rPr>
              <w:t>3</w:t>
            </w:r>
            <w:r>
              <w:rPr>
                <w:rFonts w:hint="eastAsia"/>
                <w:sz w:val="28"/>
                <w:szCs w:val="36"/>
              </w:rPr>
              <w:t>%</w:t>
            </w:r>
          </w:p>
        </w:tc>
        <w:tc>
          <w:tcPr>
            <w:tcW w:w="1512" w:type="dxa"/>
            <w:tcBorders>
              <w:top w:val="single" w:color="auto" w:sz="4" w:space="0"/>
              <w:left w:val="single" w:color="auto" w:sz="4" w:space="0"/>
              <w:right w:val="single" w:color="auto" w:sz="4" w:space="0"/>
            </w:tcBorders>
            <w:shd w:val="clear" w:color="auto" w:fill="FFFFFF"/>
            <w:vAlign w:val="center"/>
          </w:tcPr>
          <w:p>
            <w:pPr>
              <w:spacing w:line="560" w:lineRule="exact"/>
              <w:ind w:firstLine="560" w:firstLineChars="200"/>
              <w:jc w:val="left"/>
              <w:rPr>
                <w:rFonts w:hint="default" w:eastAsia="宋体"/>
                <w:sz w:val="28"/>
                <w:szCs w:val="36"/>
                <w:lang w:val="en-US" w:eastAsia="zh-CN"/>
              </w:rPr>
            </w:pPr>
            <w:r>
              <w:rPr>
                <w:rFonts w:hint="eastAsia"/>
                <w:sz w:val="28"/>
                <w:szCs w:val="36"/>
                <w:lang w:val="en-US" w:eastAsia="zh-CN"/>
              </w:rPr>
              <w:t>355</w:t>
            </w:r>
          </w:p>
        </w:tc>
      </w:tr>
      <w:tr>
        <w:tblPrEx>
          <w:tblCellMar>
            <w:top w:w="0" w:type="dxa"/>
            <w:left w:w="10" w:type="dxa"/>
            <w:bottom w:w="0" w:type="dxa"/>
            <w:right w:w="10" w:type="dxa"/>
          </w:tblCellMar>
        </w:tblPrEx>
        <w:trPr>
          <w:trHeight w:val="737" w:hRule="exact"/>
          <w:jc w:val="center"/>
        </w:trPr>
        <w:tc>
          <w:tcPr>
            <w:tcW w:w="1170"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3</w:t>
            </w:r>
          </w:p>
        </w:tc>
        <w:tc>
          <w:tcPr>
            <w:tcW w:w="1855"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预制梁</w:t>
            </w:r>
          </w:p>
        </w:tc>
        <w:tc>
          <w:tcPr>
            <w:tcW w:w="1512"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M³</w:t>
            </w:r>
          </w:p>
        </w:tc>
        <w:tc>
          <w:tcPr>
            <w:tcW w:w="1512" w:type="dxa"/>
            <w:tcBorders>
              <w:top w:val="single" w:color="auto" w:sz="4" w:space="0"/>
              <w:left w:val="single" w:color="auto" w:sz="4" w:space="0"/>
              <w:right w:val="single" w:color="auto" w:sz="4" w:space="0"/>
            </w:tcBorders>
            <w:shd w:val="clear" w:color="auto" w:fill="FFFFFF"/>
            <w:vAlign w:val="center"/>
          </w:tcPr>
          <w:p>
            <w:pPr>
              <w:spacing w:line="560" w:lineRule="exact"/>
              <w:jc w:val="center"/>
              <w:rPr>
                <w:sz w:val="28"/>
                <w:szCs w:val="36"/>
              </w:rPr>
            </w:pPr>
            <w:r>
              <w:rPr>
                <w:rFonts w:hint="eastAsia"/>
                <w:sz w:val="28"/>
                <w:szCs w:val="36"/>
                <w:lang w:val="en-US" w:eastAsia="zh-CN"/>
              </w:rPr>
              <w:t>0</w:t>
            </w:r>
            <w:r>
              <w:rPr>
                <w:rFonts w:hint="eastAsia"/>
                <w:sz w:val="28"/>
                <w:szCs w:val="36"/>
              </w:rPr>
              <w:t>%</w:t>
            </w:r>
          </w:p>
        </w:tc>
        <w:tc>
          <w:tcPr>
            <w:tcW w:w="1512" w:type="dxa"/>
            <w:tcBorders>
              <w:top w:val="single" w:color="auto" w:sz="4" w:space="0"/>
              <w:left w:val="single" w:color="auto" w:sz="4" w:space="0"/>
              <w:right w:val="single" w:color="auto" w:sz="4" w:space="0"/>
            </w:tcBorders>
            <w:shd w:val="clear" w:color="auto" w:fill="FFFFFF"/>
            <w:vAlign w:val="center"/>
          </w:tcPr>
          <w:p>
            <w:pPr>
              <w:spacing w:line="560" w:lineRule="exact"/>
              <w:ind w:firstLine="560" w:firstLineChars="200"/>
              <w:jc w:val="left"/>
              <w:rPr>
                <w:rFonts w:hint="default" w:eastAsia="宋体"/>
                <w:sz w:val="28"/>
                <w:szCs w:val="36"/>
                <w:lang w:val="en-US" w:eastAsia="zh-CN"/>
              </w:rPr>
            </w:pPr>
            <w:r>
              <w:rPr>
                <w:rFonts w:hint="eastAsia"/>
                <w:sz w:val="28"/>
                <w:szCs w:val="36"/>
                <w:lang w:val="en-US" w:eastAsia="zh-CN"/>
              </w:rPr>
              <w:t>495</w:t>
            </w:r>
          </w:p>
        </w:tc>
      </w:tr>
      <w:tr>
        <w:tblPrEx>
          <w:tblCellMar>
            <w:top w:w="0" w:type="dxa"/>
            <w:left w:w="10" w:type="dxa"/>
            <w:bottom w:w="0" w:type="dxa"/>
            <w:right w:w="10" w:type="dxa"/>
          </w:tblCellMar>
        </w:tblPrEx>
        <w:trPr>
          <w:trHeight w:val="737" w:hRule="exact"/>
          <w:jc w:val="center"/>
        </w:trPr>
        <w:tc>
          <w:tcPr>
            <w:tcW w:w="1170"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4</w:t>
            </w:r>
          </w:p>
        </w:tc>
        <w:tc>
          <w:tcPr>
            <w:tcW w:w="1855"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预制保温夹心外墙</w:t>
            </w:r>
          </w:p>
        </w:tc>
        <w:tc>
          <w:tcPr>
            <w:tcW w:w="1512"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M³</w:t>
            </w:r>
          </w:p>
        </w:tc>
        <w:tc>
          <w:tcPr>
            <w:tcW w:w="1512" w:type="dxa"/>
            <w:tcBorders>
              <w:top w:val="single" w:color="auto" w:sz="4" w:space="0"/>
              <w:left w:val="single" w:color="auto" w:sz="4" w:space="0"/>
              <w:right w:val="single" w:color="auto" w:sz="4" w:space="0"/>
            </w:tcBorders>
            <w:shd w:val="clear" w:color="auto" w:fill="FFFFFF"/>
            <w:vAlign w:val="center"/>
          </w:tcPr>
          <w:p>
            <w:pPr>
              <w:spacing w:line="560" w:lineRule="exact"/>
              <w:jc w:val="center"/>
              <w:rPr>
                <w:sz w:val="28"/>
                <w:szCs w:val="36"/>
              </w:rPr>
            </w:pPr>
            <w:r>
              <w:rPr>
                <w:rFonts w:hint="eastAsia"/>
                <w:sz w:val="28"/>
                <w:szCs w:val="36"/>
                <w:lang w:val="en-US" w:eastAsia="zh-CN"/>
              </w:rPr>
              <w:t>44</w:t>
            </w:r>
            <w:r>
              <w:rPr>
                <w:rFonts w:hint="eastAsia"/>
                <w:sz w:val="28"/>
                <w:szCs w:val="36"/>
              </w:rPr>
              <w:t>%</w:t>
            </w:r>
          </w:p>
        </w:tc>
        <w:tc>
          <w:tcPr>
            <w:tcW w:w="1512" w:type="dxa"/>
            <w:tcBorders>
              <w:top w:val="single" w:color="auto" w:sz="4" w:space="0"/>
              <w:left w:val="single" w:color="auto" w:sz="4" w:space="0"/>
              <w:right w:val="single" w:color="auto" w:sz="4" w:space="0"/>
            </w:tcBorders>
            <w:shd w:val="clear" w:color="auto" w:fill="FFFFFF"/>
            <w:vAlign w:val="center"/>
          </w:tcPr>
          <w:p>
            <w:pPr>
              <w:spacing w:line="560" w:lineRule="exact"/>
              <w:ind w:firstLine="560" w:firstLineChars="200"/>
              <w:jc w:val="left"/>
              <w:rPr>
                <w:rFonts w:hint="default" w:eastAsia="宋体"/>
                <w:sz w:val="28"/>
                <w:szCs w:val="36"/>
                <w:lang w:val="en-US" w:eastAsia="zh-CN"/>
              </w:rPr>
            </w:pPr>
            <w:r>
              <w:rPr>
                <w:rFonts w:hint="eastAsia"/>
                <w:sz w:val="28"/>
                <w:szCs w:val="36"/>
                <w:lang w:val="en-US" w:eastAsia="zh-CN"/>
              </w:rPr>
              <w:t>555</w:t>
            </w:r>
          </w:p>
        </w:tc>
      </w:tr>
      <w:tr>
        <w:tblPrEx>
          <w:tblCellMar>
            <w:top w:w="0" w:type="dxa"/>
            <w:left w:w="10" w:type="dxa"/>
            <w:bottom w:w="0" w:type="dxa"/>
            <w:right w:w="10" w:type="dxa"/>
          </w:tblCellMar>
        </w:tblPrEx>
        <w:trPr>
          <w:trHeight w:val="737" w:hRule="exact"/>
          <w:jc w:val="center"/>
        </w:trPr>
        <w:tc>
          <w:tcPr>
            <w:tcW w:w="1170"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5</w:t>
            </w:r>
          </w:p>
        </w:tc>
        <w:tc>
          <w:tcPr>
            <w:tcW w:w="1855"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预制外墙板</w:t>
            </w:r>
          </w:p>
        </w:tc>
        <w:tc>
          <w:tcPr>
            <w:tcW w:w="1512"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M³</w:t>
            </w:r>
          </w:p>
        </w:tc>
        <w:tc>
          <w:tcPr>
            <w:tcW w:w="1512" w:type="dxa"/>
            <w:tcBorders>
              <w:top w:val="single" w:color="auto" w:sz="4" w:space="0"/>
              <w:left w:val="single" w:color="auto" w:sz="4" w:space="0"/>
              <w:right w:val="single" w:color="auto" w:sz="4" w:space="0"/>
            </w:tcBorders>
            <w:shd w:val="clear" w:color="auto" w:fill="FFFFFF"/>
            <w:vAlign w:val="center"/>
          </w:tcPr>
          <w:p>
            <w:pPr>
              <w:spacing w:line="560" w:lineRule="exact"/>
              <w:jc w:val="center"/>
              <w:rPr>
                <w:sz w:val="28"/>
                <w:szCs w:val="36"/>
              </w:rPr>
            </w:pPr>
            <w:r>
              <w:rPr>
                <w:rFonts w:hint="eastAsia"/>
                <w:sz w:val="28"/>
                <w:szCs w:val="36"/>
                <w:lang w:val="en-US" w:eastAsia="zh-CN"/>
              </w:rPr>
              <w:t>11</w:t>
            </w:r>
            <w:r>
              <w:rPr>
                <w:rFonts w:hint="eastAsia"/>
                <w:sz w:val="28"/>
                <w:szCs w:val="36"/>
              </w:rPr>
              <w:t>%</w:t>
            </w:r>
          </w:p>
        </w:tc>
        <w:tc>
          <w:tcPr>
            <w:tcW w:w="1512" w:type="dxa"/>
            <w:tcBorders>
              <w:top w:val="single" w:color="auto" w:sz="4" w:space="0"/>
              <w:left w:val="single" w:color="auto" w:sz="4" w:space="0"/>
              <w:right w:val="single" w:color="auto" w:sz="4" w:space="0"/>
            </w:tcBorders>
            <w:shd w:val="clear" w:color="auto" w:fill="FFFFFF"/>
            <w:vAlign w:val="center"/>
          </w:tcPr>
          <w:p>
            <w:pPr>
              <w:spacing w:line="560" w:lineRule="exact"/>
              <w:ind w:firstLine="560" w:firstLineChars="200"/>
              <w:jc w:val="left"/>
              <w:rPr>
                <w:rFonts w:hint="default" w:eastAsia="宋体"/>
                <w:sz w:val="28"/>
                <w:szCs w:val="36"/>
                <w:lang w:val="en-US" w:eastAsia="zh-CN"/>
              </w:rPr>
            </w:pPr>
            <w:r>
              <w:rPr>
                <w:rFonts w:hint="eastAsia"/>
                <w:sz w:val="28"/>
                <w:szCs w:val="36"/>
                <w:lang w:val="en-US" w:eastAsia="zh-CN"/>
              </w:rPr>
              <w:t>495</w:t>
            </w:r>
          </w:p>
        </w:tc>
      </w:tr>
      <w:tr>
        <w:tblPrEx>
          <w:tblCellMar>
            <w:top w:w="0" w:type="dxa"/>
            <w:left w:w="10" w:type="dxa"/>
            <w:bottom w:w="0" w:type="dxa"/>
            <w:right w:w="10" w:type="dxa"/>
          </w:tblCellMar>
        </w:tblPrEx>
        <w:trPr>
          <w:trHeight w:val="737" w:hRule="exact"/>
          <w:jc w:val="center"/>
        </w:trPr>
        <w:tc>
          <w:tcPr>
            <w:tcW w:w="1170"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6</w:t>
            </w:r>
          </w:p>
        </w:tc>
        <w:tc>
          <w:tcPr>
            <w:tcW w:w="1855"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预制内墙板</w:t>
            </w:r>
          </w:p>
        </w:tc>
        <w:tc>
          <w:tcPr>
            <w:tcW w:w="1512"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M³</w:t>
            </w:r>
          </w:p>
        </w:tc>
        <w:tc>
          <w:tcPr>
            <w:tcW w:w="1512" w:type="dxa"/>
            <w:tcBorders>
              <w:top w:val="single" w:color="auto" w:sz="4" w:space="0"/>
              <w:left w:val="single" w:color="auto" w:sz="4" w:space="0"/>
              <w:right w:val="single" w:color="auto" w:sz="4" w:space="0"/>
            </w:tcBorders>
            <w:shd w:val="clear" w:color="auto" w:fill="FFFFFF"/>
            <w:vAlign w:val="center"/>
          </w:tcPr>
          <w:p>
            <w:pPr>
              <w:spacing w:line="560" w:lineRule="exact"/>
              <w:jc w:val="center"/>
              <w:rPr>
                <w:sz w:val="28"/>
                <w:szCs w:val="36"/>
              </w:rPr>
            </w:pPr>
            <w:r>
              <w:rPr>
                <w:rFonts w:hint="eastAsia"/>
                <w:sz w:val="28"/>
                <w:szCs w:val="36"/>
                <w:lang w:val="en-US" w:eastAsia="zh-CN"/>
              </w:rPr>
              <w:t>9</w:t>
            </w:r>
            <w:r>
              <w:rPr>
                <w:rFonts w:hint="eastAsia"/>
                <w:sz w:val="28"/>
                <w:szCs w:val="36"/>
              </w:rPr>
              <w:t>%</w:t>
            </w:r>
          </w:p>
        </w:tc>
        <w:tc>
          <w:tcPr>
            <w:tcW w:w="1512" w:type="dxa"/>
            <w:tcBorders>
              <w:top w:val="single" w:color="auto" w:sz="4" w:space="0"/>
              <w:left w:val="single" w:color="auto" w:sz="4" w:space="0"/>
              <w:right w:val="single" w:color="auto" w:sz="4" w:space="0"/>
            </w:tcBorders>
            <w:shd w:val="clear" w:color="auto" w:fill="FFFFFF"/>
            <w:vAlign w:val="center"/>
          </w:tcPr>
          <w:p>
            <w:pPr>
              <w:spacing w:line="560" w:lineRule="exact"/>
              <w:ind w:firstLine="560" w:firstLineChars="200"/>
              <w:jc w:val="left"/>
              <w:rPr>
                <w:rFonts w:hint="default" w:eastAsia="宋体"/>
                <w:sz w:val="28"/>
                <w:szCs w:val="36"/>
                <w:lang w:val="en-US" w:eastAsia="zh-CN"/>
              </w:rPr>
            </w:pPr>
            <w:r>
              <w:rPr>
                <w:rFonts w:hint="eastAsia"/>
                <w:sz w:val="28"/>
                <w:szCs w:val="36"/>
                <w:lang w:val="en-US" w:eastAsia="zh-CN"/>
              </w:rPr>
              <w:t>480</w:t>
            </w:r>
          </w:p>
        </w:tc>
      </w:tr>
      <w:tr>
        <w:tblPrEx>
          <w:tblCellMar>
            <w:top w:w="0" w:type="dxa"/>
            <w:left w:w="10" w:type="dxa"/>
            <w:bottom w:w="0" w:type="dxa"/>
            <w:right w:w="10" w:type="dxa"/>
          </w:tblCellMar>
        </w:tblPrEx>
        <w:trPr>
          <w:trHeight w:val="737" w:hRule="exact"/>
          <w:jc w:val="center"/>
        </w:trPr>
        <w:tc>
          <w:tcPr>
            <w:tcW w:w="1170"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eastAsiaTheme="minorEastAsia"/>
                <w:color w:val="000000"/>
                <w:kern w:val="0"/>
                <w:sz w:val="24"/>
                <w:lang w:bidi="ar"/>
              </w:rPr>
              <w:t>7</w:t>
            </w:r>
          </w:p>
        </w:tc>
        <w:tc>
          <w:tcPr>
            <w:tcW w:w="1855"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预制空调板、阳台、飘窗</w:t>
            </w:r>
          </w:p>
        </w:tc>
        <w:tc>
          <w:tcPr>
            <w:tcW w:w="1512"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M³</w:t>
            </w:r>
          </w:p>
        </w:tc>
        <w:tc>
          <w:tcPr>
            <w:tcW w:w="1512"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560" w:lineRule="exact"/>
              <w:jc w:val="center"/>
              <w:rPr>
                <w:sz w:val="28"/>
                <w:szCs w:val="36"/>
              </w:rPr>
            </w:pPr>
            <w:r>
              <w:rPr>
                <w:rFonts w:hint="eastAsia"/>
                <w:sz w:val="28"/>
                <w:szCs w:val="36"/>
                <w:lang w:val="en-US" w:eastAsia="zh-CN"/>
              </w:rPr>
              <w:t>11</w:t>
            </w:r>
            <w:r>
              <w:rPr>
                <w:rFonts w:hint="eastAsia"/>
                <w:sz w:val="28"/>
                <w:szCs w:val="36"/>
              </w:rPr>
              <w:t>%</w:t>
            </w:r>
          </w:p>
        </w:tc>
        <w:tc>
          <w:tcPr>
            <w:tcW w:w="1512"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560" w:lineRule="exact"/>
              <w:ind w:firstLine="560" w:firstLineChars="200"/>
              <w:jc w:val="left"/>
              <w:rPr>
                <w:rFonts w:hint="default" w:eastAsia="宋体"/>
                <w:sz w:val="28"/>
                <w:szCs w:val="36"/>
                <w:lang w:val="en-US" w:eastAsia="zh-CN"/>
              </w:rPr>
            </w:pPr>
            <w:r>
              <w:rPr>
                <w:rFonts w:hint="eastAsia"/>
                <w:sz w:val="28"/>
                <w:szCs w:val="36"/>
                <w:lang w:val="en-US" w:eastAsia="zh-CN"/>
              </w:rPr>
              <w:t>555</w:t>
            </w:r>
          </w:p>
        </w:tc>
      </w:tr>
      <w:tr>
        <w:tblPrEx>
          <w:tblCellMar>
            <w:top w:w="0" w:type="dxa"/>
            <w:left w:w="10" w:type="dxa"/>
            <w:bottom w:w="0" w:type="dxa"/>
            <w:right w:w="10" w:type="dxa"/>
          </w:tblCellMar>
        </w:tblPrEx>
        <w:trPr>
          <w:trHeight w:val="737" w:hRule="exact"/>
          <w:jc w:val="center"/>
        </w:trPr>
        <w:tc>
          <w:tcPr>
            <w:tcW w:w="1170"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highlight w:val="yellow"/>
              </w:rPr>
            </w:pPr>
            <w:r>
              <w:rPr>
                <w:rFonts w:hint="eastAsia" w:ascii="宋体" w:hAnsi="宋体" w:cs="宋体" w:eastAsiaTheme="minorEastAsia"/>
                <w:color w:val="000000"/>
                <w:kern w:val="0"/>
                <w:sz w:val="24"/>
                <w:lang w:bidi="ar"/>
              </w:rPr>
              <w:t>8</w:t>
            </w:r>
          </w:p>
        </w:tc>
        <w:tc>
          <w:tcPr>
            <w:tcW w:w="1855"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highlight w:val="yellow"/>
              </w:rPr>
            </w:pPr>
            <w:r>
              <w:rPr>
                <w:rFonts w:hint="eastAsia" w:ascii="宋体" w:hAnsi="宋体" w:cs="宋体"/>
                <w:color w:val="000000"/>
                <w:kern w:val="0"/>
                <w:sz w:val="24"/>
                <w:lang w:bidi="ar"/>
              </w:rPr>
              <w:t>预制PCF板</w:t>
            </w:r>
          </w:p>
        </w:tc>
        <w:tc>
          <w:tcPr>
            <w:tcW w:w="1512"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M³</w:t>
            </w:r>
          </w:p>
        </w:tc>
        <w:tc>
          <w:tcPr>
            <w:tcW w:w="1512"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560" w:lineRule="exact"/>
              <w:jc w:val="center"/>
              <w:rPr>
                <w:sz w:val="28"/>
                <w:szCs w:val="36"/>
              </w:rPr>
            </w:pPr>
            <w:r>
              <w:rPr>
                <w:rFonts w:hint="eastAsia"/>
                <w:sz w:val="28"/>
                <w:szCs w:val="36"/>
                <w:lang w:val="en-US" w:eastAsia="zh-CN"/>
              </w:rPr>
              <w:t>2</w:t>
            </w:r>
            <w:r>
              <w:rPr>
                <w:rFonts w:hint="eastAsia"/>
                <w:sz w:val="28"/>
                <w:szCs w:val="36"/>
              </w:rPr>
              <w:t>%</w:t>
            </w:r>
          </w:p>
        </w:tc>
        <w:tc>
          <w:tcPr>
            <w:tcW w:w="1512"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560" w:lineRule="exact"/>
              <w:ind w:firstLine="560" w:firstLineChars="200"/>
              <w:jc w:val="left"/>
              <w:rPr>
                <w:sz w:val="28"/>
                <w:szCs w:val="36"/>
              </w:rPr>
            </w:pPr>
            <w:r>
              <w:rPr>
                <w:rFonts w:hint="eastAsia"/>
                <w:sz w:val="28"/>
                <w:szCs w:val="36"/>
              </w:rPr>
              <w:t>560</w:t>
            </w:r>
          </w:p>
        </w:tc>
      </w:tr>
    </w:tbl>
    <w:p>
      <w:pPr>
        <w:spacing w:line="360" w:lineRule="auto"/>
        <w:ind w:firstLine="480" w:firstLineChars="200"/>
        <w:jc w:val="left"/>
        <w:rPr>
          <w:rFonts w:hint="eastAsia"/>
          <w:lang w:eastAsia="zh-CN"/>
        </w:rPr>
      </w:pPr>
      <w:r>
        <w:rPr>
          <w:rFonts w:hint="eastAsia" w:cs="Times New Roman" w:asciiTheme="minorEastAsia" w:hAnsiTheme="minorEastAsia" w:eastAsiaTheme="minorEastAsia"/>
          <w:kern w:val="2"/>
          <w:sz w:val="24"/>
          <w:szCs w:val="24"/>
          <w:lang w:val="en-US" w:eastAsia="zh-CN" w:bidi="ar-SA"/>
        </w:rPr>
        <w:t>标段二控制价</w:t>
      </w:r>
    </w:p>
    <w:tbl>
      <w:tblPr>
        <w:tblStyle w:val="14"/>
        <w:tblW w:w="7509" w:type="dxa"/>
        <w:jc w:val="center"/>
        <w:tblLayout w:type="fixed"/>
        <w:tblCellMar>
          <w:top w:w="0" w:type="dxa"/>
          <w:left w:w="10" w:type="dxa"/>
          <w:bottom w:w="0" w:type="dxa"/>
          <w:right w:w="10" w:type="dxa"/>
        </w:tblCellMar>
      </w:tblPr>
      <w:tblGrid>
        <w:gridCol w:w="1145"/>
        <w:gridCol w:w="1828"/>
        <w:gridCol w:w="1512"/>
        <w:gridCol w:w="1512"/>
        <w:gridCol w:w="1512"/>
      </w:tblGrid>
      <w:tr>
        <w:tblPrEx>
          <w:tblCellMar>
            <w:top w:w="0" w:type="dxa"/>
            <w:left w:w="10" w:type="dxa"/>
            <w:bottom w:w="0" w:type="dxa"/>
            <w:right w:w="10" w:type="dxa"/>
          </w:tblCellMar>
        </w:tblPrEx>
        <w:trPr>
          <w:trHeight w:val="737" w:hRule="exact"/>
          <w:jc w:val="center"/>
        </w:trPr>
        <w:tc>
          <w:tcPr>
            <w:tcW w:w="1145" w:type="dxa"/>
            <w:tcBorders>
              <w:top w:val="single" w:color="auto" w:sz="4" w:space="0"/>
              <w:left w:val="single" w:color="auto" w:sz="4" w:space="0"/>
            </w:tcBorders>
            <w:shd w:val="clear" w:color="auto" w:fill="FFFFFF"/>
            <w:vAlign w:val="center"/>
          </w:tcPr>
          <w:p>
            <w:pPr>
              <w:spacing w:line="560" w:lineRule="exact"/>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序号</w:t>
            </w:r>
          </w:p>
        </w:tc>
        <w:tc>
          <w:tcPr>
            <w:tcW w:w="1828" w:type="dxa"/>
            <w:tcBorders>
              <w:top w:val="single" w:color="auto" w:sz="4" w:space="0"/>
              <w:left w:val="single" w:color="auto" w:sz="4" w:space="0"/>
            </w:tcBorders>
            <w:shd w:val="clear" w:color="auto" w:fill="FFFFFF"/>
            <w:vAlign w:val="center"/>
          </w:tcPr>
          <w:p>
            <w:pPr>
              <w:spacing w:line="560" w:lineRule="exact"/>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构件名称</w:t>
            </w:r>
          </w:p>
        </w:tc>
        <w:tc>
          <w:tcPr>
            <w:tcW w:w="1512" w:type="dxa"/>
            <w:tcBorders>
              <w:top w:val="single" w:color="auto" w:sz="4" w:space="0"/>
              <w:left w:val="single" w:color="auto" w:sz="4" w:space="0"/>
            </w:tcBorders>
            <w:shd w:val="clear" w:color="auto" w:fill="FFFFFF"/>
            <w:vAlign w:val="center"/>
          </w:tcPr>
          <w:p>
            <w:pPr>
              <w:spacing w:line="560" w:lineRule="exact"/>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单位</w:t>
            </w:r>
          </w:p>
        </w:tc>
        <w:tc>
          <w:tcPr>
            <w:tcW w:w="1512" w:type="dxa"/>
            <w:tcBorders>
              <w:top w:val="single" w:color="auto" w:sz="4" w:space="0"/>
              <w:left w:val="single" w:color="auto" w:sz="4" w:space="0"/>
              <w:right w:val="single" w:color="auto" w:sz="4" w:space="0"/>
            </w:tcBorders>
            <w:shd w:val="clear" w:color="auto" w:fill="FFFFFF"/>
            <w:vAlign w:val="center"/>
          </w:tcPr>
          <w:p>
            <w:pPr>
              <w:spacing w:line="400" w:lineRule="exact"/>
              <w:ind w:firstLine="240" w:firstLineChars="100"/>
              <w:jc w:val="left"/>
            </w:pPr>
            <w:r>
              <w:rPr>
                <w:rFonts w:hint="eastAsia" w:asciiTheme="minorEastAsia" w:hAnsiTheme="minorEastAsia" w:eastAsiaTheme="minorEastAsia" w:cstheme="minorEastAsia"/>
                <w:kern w:val="0"/>
                <w:sz w:val="24"/>
              </w:rPr>
              <w:t>构件占比</w:t>
            </w:r>
          </w:p>
        </w:tc>
        <w:tc>
          <w:tcPr>
            <w:tcW w:w="1512" w:type="dxa"/>
            <w:tcBorders>
              <w:top w:val="single" w:color="auto" w:sz="4" w:space="0"/>
              <w:left w:val="single" w:color="auto" w:sz="4" w:space="0"/>
              <w:right w:val="single" w:color="auto" w:sz="4" w:space="0"/>
            </w:tcBorders>
            <w:shd w:val="clear" w:color="auto" w:fill="FFFFFF"/>
            <w:vAlign w:val="center"/>
          </w:tcPr>
          <w:p>
            <w:pPr>
              <w:spacing w:line="560" w:lineRule="exact"/>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控制价</w:t>
            </w:r>
          </w:p>
        </w:tc>
      </w:tr>
      <w:tr>
        <w:tblPrEx>
          <w:tblCellMar>
            <w:top w:w="0" w:type="dxa"/>
            <w:left w:w="10" w:type="dxa"/>
            <w:bottom w:w="0" w:type="dxa"/>
            <w:right w:w="10" w:type="dxa"/>
          </w:tblCellMar>
        </w:tblPrEx>
        <w:trPr>
          <w:trHeight w:val="737" w:hRule="exact"/>
          <w:jc w:val="center"/>
        </w:trPr>
        <w:tc>
          <w:tcPr>
            <w:tcW w:w="1145" w:type="dxa"/>
            <w:tcBorders>
              <w:top w:val="single" w:color="auto" w:sz="4" w:space="0"/>
              <w:left w:val="single" w:color="auto" w:sz="4" w:space="0"/>
            </w:tcBorders>
            <w:shd w:val="clear" w:color="auto" w:fill="FFFFFF"/>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1</w:t>
            </w:r>
          </w:p>
        </w:tc>
        <w:tc>
          <w:tcPr>
            <w:tcW w:w="1828" w:type="dxa"/>
            <w:tcBorders>
              <w:top w:val="single" w:color="auto" w:sz="4" w:space="0"/>
              <w:left w:val="single" w:color="auto" w:sz="4" w:space="0"/>
            </w:tcBorders>
            <w:shd w:val="clear" w:color="auto" w:fill="FFFFFF"/>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预制叠合板</w:t>
            </w:r>
          </w:p>
        </w:tc>
        <w:tc>
          <w:tcPr>
            <w:tcW w:w="1512" w:type="dxa"/>
            <w:tcBorders>
              <w:top w:val="single" w:color="auto" w:sz="4" w:space="0"/>
              <w:left w:val="single" w:color="auto" w:sz="4" w:space="0"/>
            </w:tcBorders>
            <w:shd w:val="clear" w:color="auto" w:fill="FFFFFF"/>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M³</w:t>
            </w:r>
          </w:p>
        </w:tc>
        <w:tc>
          <w:tcPr>
            <w:tcW w:w="1512" w:type="dxa"/>
            <w:tcBorders>
              <w:top w:val="single" w:color="auto" w:sz="4" w:space="0"/>
              <w:left w:val="single" w:color="auto" w:sz="4" w:space="0"/>
              <w:right w:val="single" w:color="auto" w:sz="4" w:space="0"/>
            </w:tcBorders>
            <w:shd w:val="clear" w:color="auto" w:fill="FFFFFF"/>
            <w:vAlign w:val="center"/>
          </w:tcPr>
          <w:p>
            <w:pPr>
              <w:spacing w:line="560" w:lineRule="exact"/>
              <w:jc w:val="center"/>
              <w:rPr>
                <w:sz w:val="28"/>
                <w:szCs w:val="36"/>
              </w:rPr>
            </w:pPr>
            <w:r>
              <w:rPr>
                <w:rFonts w:hint="eastAsia"/>
                <w:sz w:val="28"/>
                <w:szCs w:val="36"/>
              </w:rPr>
              <w:t>1</w:t>
            </w:r>
            <w:r>
              <w:rPr>
                <w:rFonts w:hint="eastAsia"/>
                <w:sz w:val="28"/>
                <w:szCs w:val="36"/>
                <w:lang w:val="en-US" w:eastAsia="zh-CN"/>
              </w:rPr>
              <w:t>8</w:t>
            </w:r>
            <w:r>
              <w:rPr>
                <w:rFonts w:hint="eastAsia"/>
                <w:sz w:val="28"/>
                <w:szCs w:val="36"/>
              </w:rPr>
              <w:t>%</w:t>
            </w:r>
          </w:p>
        </w:tc>
        <w:tc>
          <w:tcPr>
            <w:tcW w:w="1512" w:type="dxa"/>
            <w:tcBorders>
              <w:top w:val="single" w:color="auto" w:sz="4" w:space="0"/>
              <w:left w:val="single" w:color="auto" w:sz="4" w:space="0"/>
              <w:right w:val="single" w:color="auto" w:sz="4" w:space="0"/>
            </w:tcBorders>
            <w:shd w:val="clear" w:color="auto" w:fill="FFFFFF"/>
            <w:vAlign w:val="center"/>
          </w:tcPr>
          <w:p>
            <w:pPr>
              <w:spacing w:line="560" w:lineRule="exact"/>
              <w:ind w:firstLine="560" w:firstLineChars="200"/>
              <w:jc w:val="left"/>
              <w:rPr>
                <w:rFonts w:hint="default" w:eastAsia="宋体"/>
                <w:sz w:val="28"/>
                <w:szCs w:val="36"/>
                <w:lang w:val="en-US" w:eastAsia="zh-CN"/>
              </w:rPr>
            </w:pPr>
            <w:r>
              <w:rPr>
                <w:rFonts w:hint="eastAsia"/>
                <w:sz w:val="28"/>
                <w:szCs w:val="36"/>
                <w:lang w:val="en-US" w:eastAsia="zh-CN"/>
              </w:rPr>
              <w:t>350</w:t>
            </w:r>
          </w:p>
        </w:tc>
      </w:tr>
      <w:tr>
        <w:tblPrEx>
          <w:tblCellMar>
            <w:top w:w="0" w:type="dxa"/>
            <w:left w:w="10" w:type="dxa"/>
            <w:bottom w:w="0" w:type="dxa"/>
            <w:right w:w="10" w:type="dxa"/>
          </w:tblCellMar>
        </w:tblPrEx>
        <w:trPr>
          <w:trHeight w:val="737" w:hRule="exact"/>
          <w:jc w:val="center"/>
        </w:trPr>
        <w:tc>
          <w:tcPr>
            <w:tcW w:w="1145" w:type="dxa"/>
            <w:tcBorders>
              <w:top w:val="single" w:color="auto" w:sz="4" w:space="0"/>
              <w:left w:val="single" w:color="auto" w:sz="4" w:space="0"/>
            </w:tcBorders>
            <w:shd w:val="clear" w:color="auto" w:fill="FFFFFF"/>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2</w:t>
            </w:r>
          </w:p>
        </w:tc>
        <w:tc>
          <w:tcPr>
            <w:tcW w:w="1828" w:type="dxa"/>
            <w:tcBorders>
              <w:top w:val="single" w:color="auto" w:sz="4" w:space="0"/>
              <w:left w:val="single" w:color="auto" w:sz="4" w:space="0"/>
            </w:tcBorders>
            <w:shd w:val="clear" w:color="auto" w:fill="FFFFFF"/>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预制楼梯</w:t>
            </w:r>
          </w:p>
        </w:tc>
        <w:tc>
          <w:tcPr>
            <w:tcW w:w="1512" w:type="dxa"/>
            <w:tcBorders>
              <w:top w:val="single" w:color="auto" w:sz="4" w:space="0"/>
              <w:left w:val="single" w:color="auto" w:sz="4" w:space="0"/>
            </w:tcBorders>
            <w:shd w:val="clear" w:color="auto" w:fill="FFFFFF"/>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M³</w:t>
            </w:r>
          </w:p>
        </w:tc>
        <w:tc>
          <w:tcPr>
            <w:tcW w:w="1512" w:type="dxa"/>
            <w:tcBorders>
              <w:top w:val="single" w:color="auto" w:sz="4" w:space="0"/>
              <w:left w:val="single" w:color="auto" w:sz="4" w:space="0"/>
              <w:right w:val="single" w:color="auto" w:sz="4" w:space="0"/>
            </w:tcBorders>
            <w:shd w:val="clear" w:color="auto" w:fill="FFFFFF"/>
            <w:vAlign w:val="center"/>
          </w:tcPr>
          <w:p>
            <w:pPr>
              <w:spacing w:line="560" w:lineRule="exact"/>
              <w:jc w:val="center"/>
              <w:rPr>
                <w:sz w:val="28"/>
                <w:szCs w:val="36"/>
              </w:rPr>
            </w:pPr>
            <w:r>
              <w:rPr>
                <w:rFonts w:hint="eastAsia"/>
                <w:sz w:val="28"/>
                <w:szCs w:val="36"/>
              </w:rPr>
              <w:t>3%</w:t>
            </w:r>
          </w:p>
        </w:tc>
        <w:tc>
          <w:tcPr>
            <w:tcW w:w="1512" w:type="dxa"/>
            <w:tcBorders>
              <w:top w:val="single" w:color="auto" w:sz="4" w:space="0"/>
              <w:left w:val="single" w:color="auto" w:sz="4" w:space="0"/>
              <w:right w:val="single" w:color="auto" w:sz="4" w:space="0"/>
            </w:tcBorders>
            <w:shd w:val="clear" w:color="auto" w:fill="FFFFFF"/>
            <w:vAlign w:val="center"/>
          </w:tcPr>
          <w:p>
            <w:pPr>
              <w:spacing w:line="560" w:lineRule="exact"/>
              <w:ind w:firstLine="560" w:firstLineChars="200"/>
              <w:jc w:val="left"/>
              <w:rPr>
                <w:rFonts w:hint="default" w:eastAsia="宋体"/>
                <w:sz w:val="28"/>
                <w:szCs w:val="36"/>
                <w:lang w:val="en-US" w:eastAsia="zh-CN"/>
              </w:rPr>
            </w:pPr>
            <w:r>
              <w:rPr>
                <w:rFonts w:hint="eastAsia"/>
                <w:sz w:val="28"/>
                <w:szCs w:val="36"/>
                <w:lang w:val="en-US" w:eastAsia="zh-CN"/>
              </w:rPr>
              <w:t>365</w:t>
            </w:r>
          </w:p>
        </w:tc>
      </w:tr>
      <w:tr>
        <w:tblPrEx>
          <w:tblCellMar>
            <w:top w:w="0" w:type="dxa"/>
            <w:left w:w="10" w:type="dxa"/>
            <w:bottom w:w="0" w:type="dxa"/>
            <w:right w:w="10" w:type="dxa"/>
          </w:tblCellMar>
        </w:tblPrEx>
        <w:trPr>
          <w:trHeight w:val="737" w:hRule="exact"/>
          <w:jc w:val="center"/>
        </w:trPr>
        <w:tc>
          <w:tcPr>
            <w:tcW w:w="1145"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3</w:t>
            </w:r>
          </w:p>
        </w:tc>
        <w:tc>
          <w:tcPr>
            <w:tcW w:w="1828"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预制梁</w:t>
            </w:r>
          </w:p>
        </w:tc>
        <w:tc>
          <w:tcPr>
            <w:tcW w:w="1512"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M³</w:t>
            </w:r>
          </w:p>
        </w:tc>
        <w:tc>
          <w:tcPr>
            <w:tcW w:w="1512" w:type="dxa"/>
            <w:tcBorders>
              <w:top w:val="single" w:color="auto" w:sz="4" w:space="0"/>
              <w:left w:val="single" w:color="auto" w:sz="4" w:space="0"/>
              <w:right w:val="single" w:color="auto" w:sz="4" w:space="0"/>
            </w:tcBorders>
            <w:shd w:val="clear" w:color="auto" w:fill="FFFFFF"/>
            <w:vAlign w:val="center"/>
          </w:tcPr>
          <w:p>
            <w:pPr>
              <w:spacing w:line="560" w:lineRule="exact"/>
              <w:jc w:val="center"/>
              <w:rPr>
                <w:sz w:val="28"/>
                <w:szCs w:val="36"/>
              </w:rPr>
            </w:pPr>
            <w:r>
              <w:rPr>
                <w:rFonts w:hint="eastAsia"/>
                <w:sz w:val="28"/>
                <w:szCs w:val="36"/>
              </w:rPr>
              <w:t>3%</w:t>
            </w:r>
          </w:p>
        </w:tc>
        <w:tc>
          <w:tcPr>
            <w:tcW w:w="1512" w:type="dxa"/>
            <w:tcBorders>
              <w:top w:val="single" w:color="auto" w:sz="4" w:space="0"/>
              <w:left w:val="single" w:color="auto" w:sz="4" w:space="0"/>
              <w:right w:val="single" w:color="auto" w:sz="4" w:space="0"/>
            </w:tcBorders>
            <w:shd w:val="clear" w:color="auto" w:fill="FFFFFF"/>
            <w:vAlign w:val="center"/>
          </w:tcPr>
          <w:p>
            <w:pPr>
              <w:spacing w:line="560" w:lineRule="exact"/>
              <w:ind w:firstLine="560" w:firstLineChars="200"/>
              <w:jc w:val="left"/>
              <w:rPr>
                <w:rFonts w:hint="default" w:eastAsia="宋体"/>
                <w:sz w:val="28"/>
                <w:szCs w:val="36"/>
                <w:lang w:val="en-US" w:eastAsia="zh-CN"/>
              </w:rPr>
            </w:pPr>
            <w:r>
              <w:rPr>
                <w:rFonts w:hint="eastAsia"/>
                <w:sz w:val="28"/>
                <w:szCs w:val="36"/>
                <w:lang w:val="en-US" w:eastAsia="zh-CN"/>
              </w:rPr>
              <w:t>490</w:t>
            </w:r>
          </w:p>
        </w:tc>
      </w:tr>
      <w:tr>
        <w:tblPrEx>
          <w:tblCellMar>
            <w:top w:w="0" w:type="dxa"/>
            <w:left w:w="10" w:type="dxa"/>
            <w:bottom w:w="0" w:type="dxa"/>
            <w:right w:w="10" w:type="dxa"/>
          </w:tblCellMar>
        </w:tblPrEx>
        <w:trPr>
          <w:trHeight w:val="737" w:hRule="exact"/>
          <w:jc w:val="center"/>
        </w:trPr>
        <w:tc>
          <w:tcPr>
            <w:tcW w:w="1145"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4</w:t>
            </w:r>
          </w:p>
        </w:tc>
        <w:tc>
          <w:tcPr>
            <w:tcW w:w="1828"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预制保温夹心外墙</w:t>
            </w:r>
          </w:p>
        </w:tc>
        <w:tc>
          <w:tcPr>
            <w:tcW w:w="1512"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M³</w:t>
            </w:r>
          </w:p>
        </w:tc>
        <w:tc>
          <w:tcPr>
            <w:tcW w:w="1512" w:type="dxa"/>
            <w:tcBorders>
              <w:top w:val="single" w:color="auto" w:sz="4" w:space="0"/>
              <w:left w:val="single" w:color="auto" w:sz="4" w:space="0"/>
              <w:right w:val="single" w:color="auto" w:sz="4" w:space="0"/>
            </w:tcBorders>
            <w:shd w:val="clear" w:color="auto" w:fill="FFFFFF"/>
            <w:vAlign w:val="center"/>
          </w:tcPr>
          <w:p>
            <w:pPr>
              <w:spacing w:line="560" w:lineRule="exact"/>
              <w:jc w:val="center"/>
              <w:rPr>
                <w:sz w:val="28"/>
                <w:szCs w:val="36"/>
              </w:rPr>
            </w:pPr>
            <w:r>
              <w:rPr>
                <w:rFonts w:hint="eastAsia"/>
                <w:sz w:val="28"/>
                <w:szCs w:val="36"/>
              </w:rPr>
              <w:t>45%</w:t>
            </w:r>
          </w:p>
        </w:tc>
        <w:tc>
          <w:tcPr>
            <w:tcW w:w="1512" w:type="dxa"/>
            <w:tcBorders>
              <w:top w:val="single" w:color="auto" w:sz="4" w:space="0"/>
              <w:left w:val="single" w:color="auto" w:sz="4" w:space="0"/>
              <w:right w:val="single" w:color="auto" w:sz="4" w:space="0"/>
            </w:tcBorders>
            <w:shd w:val="clear" w:color="auto" w:fill="FFFFFF"/>
            <w:vAlign w:val="center"/>
          </w:tcPr>
          <w:p>
            <w:pPr>
              <w:spacing w:line="560" w:lineRule="exact"/>
              <w:ind w:firstLine="560" w:firstLineChars="200"/>
              <w:jc w:val="left"/>
              <w:rPr>
                <w:rFonts w:hint="default" w:eastAsia="宋体"/>
                <w:sz w:val="28"/>
                <w:szCs w:val="36"/>
                <w:lang w:val="en-US" w:eastAsia="zh-CN"/>
              </w:rPr>
            </w:pPr>
            <w:r>
              <w:rPr>
                <w:rFonts w:hint="eastAsia"/>
                <w:sz w:val="28"/>
                <w:szCs w:val="36"/>
                <w:lang w:val="en-US" w:eastAsia="zh-CN"/>
              </w:rPr>
              <w:t>555</w:t>
            </w:r>
          </w:p>
        </w:tc>
      </w:tr>
      <w:tr>
        <w:tblPrEx>
          <w:tblCellMar>
            <w:top w:w="0" w:type="dxa"/>
            <w:left w:w="10" w:type="dxa"/>
            <w:bottom w:w="0" w:type="dxa"/>
            <w:right w:w="10" w:type="dxa"/>
          </w:tblCellMar>
        </w:tblPrEx>
        <w:trPr>
          <w:trHeight w:val="737" w:hRule="exact"/>
          <w:jc w:val="center"/>
        </w:trPr>
        <w:tc>
          <w:tcPr>
            <w:tcW w:w="1145"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5</w:t>
            </w:r>
          </w:p>
        </w:tc>
        <w:tc>
          <w:tcPr>
            <w:tcW w:w="1828"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预制外墙板</w:t>
            </w:r>
          </w:p>
        </w:tc>
        <w:tc>
          <w:tcPr>
            <w:tcW w:w="1512"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M³</w:t>
            </w:r>
          </w:p>
        </w:tc>
        <w:tc>
          <w:tcPr>
            <w:tcW w:w="1512" w:type="dxa"/>
            <w:tcBorders>
              <w:top w:val="single" w:color="auto" w:sz="4" w:space="0"/>
              <w:left w:val="single" w:color="auto" w:sz="4" w:space="0"/>
              <w:right w:val="single" w:color="auto" w:sz="4" w:space="0"/>
            </w:tcBorders>
            <w:shd w:val="clear" w:color="auto" w:fill="FFFFFF"/>
            <w:vAlign w:val="center"/>
          </w:tcPr>
          <w:p>
            <w:pPr>
              <w:spacing w:line="560" w:lineRule="exact"/>
              <w:jc w:val="center"/>
              <w:rPr>
                <w:sz w:val="28"/>
                <w:szCs w:val="36"/>
              </w:rPr>
            </w:pPr>
            <w:r>
              <w:rPr>
                <w:rFonts w:hint="eastAsia"/>
                <w:sz w:val="28"/>
                <w:szCs w:val="36"/>
              </w:rPr>
              <w:t>15%</w:t>
            </w:r>
          </w:p>
        </w:tc>
        <w:tc>
          <w:tcPr>
            <w:tcW w:w="1512" w:type="dxa"/>
            <w:tcBorders>
              <w:top w:val="single" w:color="auto" w:sz="4" w:space="0"/>
              <w:left w:val="single" w:color="auto" w:sz="4" w:space="0"/>
              <w:right w:val="single" w:color="auto" w:sz="4" w:space="0"/>
            </w:tcBorders>
            <w:shd w:val="clear" w:color="auto" w:fill="FFFFFF"/>
            <w:vAlign w:val="center"/>
          </w:tcPr>
          <w:p>
            <w:pPr>
              <w:spacing w:line="560" w:lineRule="exact"/>
              <w:ind w:firstLine="560" w:firstLineChars="200"/>
              <w:jc w:val="left"/>
              <w:rPr>
                <w:rFonts w:hint="default" w:eastAsia="宋体"/>
                <w:sz w:val="28"/>
                <w:szCs w:val="36"/>
                <w:lang w:val="en-US" w:eastAsia="zh-CN"/>
              </w:rPr>
            </w:pPr>
            <w:r>
              <w:rPr>
                <w:rFonts w:hint="eastAsia"/>
                <w:sz w:val="28"/>
                <w:szCs w:val="36"/>
                <w:lang w:val="en-US" w:eastAsia="zh-CN"/>
              </w:rPr>
              <w:t>495</w:t>
            </w:r>
          </w:p>
        </w:tc>
      </w:tr>
      <w:tr>
        <w:tblPrEx>
          <w:tblCellMar>
            <w:top w:w="0" w:type="dxa"/>
            <w:left w:w="10" w:type="dxa"/>
            <w:bottom w:w="0" w:type="dxa"/>
            <w:right w:w="10" w:type="dxa"/>
          </w:tblCellMar>
        </w:tblPrEx>
        <w:trPr>
          <w:trHeight w:val="737" w:hRule="exact"/>
          <w:jc w:val="center"/>
        </w:trPr>
        <w:tc>
          <w:tcPr>
            <w:tcW w:w="1145"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6</w:t>
            </w:r>
          </w:p>
        </w:tc>
        <w:tc>
          <w:tcPr>
            <w:tcW w:w="1828"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预制内墙板</w:t>
            </w:r>
          </w:p>
        </w:tc>
        <w:tc>
          <w:tcPr>
            <w:tcW w:w="1512"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M³</w:t>
            </w:r>
          </w:p>
        </w:tc>
        <w:tc>
          <w:tcPr>
            <w:tcW w:w="1512" w:type="dxa"/>
            <w:tcBorders>
              <w:top w:val="single" w:color="auto" w:sz="4" w:space="0"/>
              <w:left w:val="single" w:color="auto" w:sz="4" w:space="0"/>
              <w:right w:val="single" w:color="auto" w:sz="4" w:space="0"/>
            </w:tcBorders>
            <w:shd w:val="clear" w:color="auto" w:fill="FFFFFF"/>
            <w:vAlign w:val="center"/>
          </w:tcPr>
          <w:p>
            <w:pPr>
              <w:spacing w:line="560" w:lineRule="exact"/>
              <w:jc w:val="center"/>
              <w:rPr>
                <w:sz w:val="28"/>
                <w:szCs w:val="36"/>
              </w:rPr>
            </w:pPr>
            <w:r>
              <w:rPr>
                <w:rFonts w:hint="eastAsia"/>
                <w:sz w:val="28"/>
                <w:szCs w:val="36"/>
              </w:rPr>
              <w:t>12%</w:t>
            </w:r>
          </w:p>
        </w:tc>
        <w:tc>
          <w:tcPr>
            <w:tcW w:w="1512" w:type="dxa"/>
            <w:tcBorders>
              <w:top w:val="single" w:color="auto" w:sz="4" w:space="0"/>
              <w:left w:val="single" w:color="auto" w:sz="4" w:space="0"/>
              <w:right w:val="single" w:color="auto" w:sz="4" w:space="0"/>
            </w:tcBorders>
            <w:shd w:val="clear" w:color="auto" w:fill="FFFFFF"/>
            <w:vAlign w:val="center"/>
          </w:tcPr>
          <w:p>
            <w:pPr>
              <w:spacing w:line="560" w:lineRule="exact"/>
              <w:ind w:firstLine="560" w:firstLineChars="200"/>
              <w:jc w:val="left"/>
              <w:rPr>
                <w:rFonts w:hint="default" w:eastAsia="宋体"/>
                <w:sz w:val="28"/>
                <w:szCs w:val="36"/>
                <w:lang w:val="en-US" w:eastAsia="zh-CN"/>
              </w:rPr>
            </w:pPr>
            <w:r>
              <w:rPr>
                <w:rFonts w:hint="eastAsia"/>
                <w:sz w:val="28"/>
                <w:szCs w:val="36"/>
                <w:lang w:val="en-US" w:eastAsia="zh-CN"/>
              </w:rPr>
              <w:t>465</w:t>
            </w:r>
          </w:p>
        </w:tc>
      </w:tr>
      <w:tr>
        <w:tblPrEx>
          <w:tblCellMar>
            <w:top w:w="0" w:type="dxa"/>
            <w:left w:w="10" w:type="dxa"/>
            <w:bottom w:w="0" w:type="dxa"/>
            <w:right w:w="10" w:type="dxa"/>
          </w:tblCellMar>
        </w:tblPrEx>
        <w:trPr>
          <w:trHeight w:val="737" w:hRule="exact"/>
          <w:jc w:val="center"/>
        </w:trPr>
        <w:tc>
          <w:tcPr>
            <w:tcW w:w="1145"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eastAsiaTheme="minorEastAsia"/>
                <w:color w:val="000000"/>
                <w:kern w:val="0"/>
                <w:sz w:val="24"/>
                <w:lang w:bidi="ar"/>
              </w:rPr>
              <w:t>7</w:t>
            </w:r>
          </w:p>
        </w:tc>
        <w:tc>
          <w:tcPr>
            <w:tcW w:w="1828"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预制空调板、阳台、飘窗</w:t>
            </w:r>
          </w:p>
        </w:tc>
        <w:tc>
          <w:tcPr>
            <w:tcW w:w="1512"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M³</w:t>
            </w:r>
          </w:p>
        </w:tc>
        <w:tc>
          <w:tcPr>
            <w:tcW w:w="1512"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560" w:lineRule="exact"/>
              <w:jc w:val="center"/>
              <w:rPr>
                <w:sz w:val="28"/>
                <w:szCs w:val="36"/>
              </w:rPr>
            </w:pPr>
            <w:r>
              <w:rPr>
                <w:rFonts w:hint="eastAsia"/>
                <w:sz w:val="28"/>
                <w:szCs w:val="36"/>
              </w:rPr>
              <w:t>3%</w:t>
            </w:r>
          </w:p>
        </w:tc>
        <w:tc>
          <w:tcPr>
            <w:tcW w:w="1512"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560" w:lineRule="exact"/>
              <w:ind w:firstLine="560" w:firstLineChars="200"/>
              <w:jc w:val="left"/>
              <w:rPr>
                <w:rFonts w:hint="default" w:eastAsia="宋体"/>
                <w:sz w:val="28"/>
                <w:szCs w:val="36"/>
                <w:lang w:val="en-US" w:eastAsia="zh-CN"/>
              </w:rPr>
            </w:pPr>
            <w:r>
              <w:rPr>
                <w:rFonts w:hint="eastAsia"/>
                <w:sz w:val="28"/>
                <w:szCs w:val="36"/>
                <w:lang w:val="en-US" w:eastAsia="zh-CN"/>
              </w:rPr>
              <w:t>550</w:t>
            </w:r>
          </w:p>
        </w:tc>
      </w:tr>
      <w:tr>
        <w:tblPrEx>
          <w:tblCellMar>
            <w:top w:w="0" w:type="dxa"/>
            <w:left w:w="10" w:type="dxa"/>
            <w:bottom w:w="0" w:type="dxa"/>
            <w:right w:w="10" w:type="dxa"/>
          </w:tblCellMar>
        </w:tblPrEx>
        <w:trPr>
          <w:trHeight w:val="618" w:hRule="exact"/>
          <w:jc w:val="center"/>
        </w:trPr>
        <w:tc>
          <w:tcPr>
            <w:tcW w:w="1145"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highlight w:val="yellow"/>
              </w:rPr>
            </w:pPr>
            <w:r>
              <w:rPr>
                <w:rFonts w:hint="eastAsia" w:ascii="宋体" w:hAnsi="宋体" w:cs="宋体" w:eastAsiaTheme="minorEastAsia"/>
                <w:color w:val="000000"/>
                <w:kern w:val="0"/>
                <w:sz w:val="24"/>
                <w:lang w:bidi="ar"/>
              </w:rPr>
              <w:t>8</w:t>
            </w:r>
          </w:p>
        </w:tc>
        <w:tc>
          <w:tcPr>
            <w:tcW w:w="1828"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highlight w:val="yellow"/>
              </w:rPr>
            </w:pPr>
            <w:r>
              <w:rPr>
                <w:rFonts w:hint="eastAsia" w:ascii="宋体" w:hAnsi="宋体" w:cs="宋体"/>
                <w:color w:val="000000"/>
                <w:kern w:val="0"/>
                <w:sz w:val="24"/>
                <w:lang w:bidi="ar"/>
              </w:rPr>
              <w:t>预制PCF板</w:t>
            </w:r>
          </w:p>
        </w:tc>
        <w:tc>
          <w:tcPr>
            <w:tcW w:w="1512"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M³</w:t>
            </w:r>
          </w:p>
        </w:tc>
        <w:tc>
          <w:tcPr>
            <w:tcW w:w="1512"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560" w:lineRule="exact"/>
              <w:jc w:val="center"/>
              <w:rPr>
                <w:sz w:val="28"/>
                <w:szCs w:val="36"/>
              </w:rPr>
            </w:pPr>
            <w:r>
              <w:rPr>
                <w:rFonts w:hint="eastAsia"/>
                <w:sz w:val="28"/>
                <w:szCs w:val="36"/>
              </w:rPr>
              <w:t>1%</w:t>
            </w:r>
          </w:p>
        </w:tc>
        <w:tc>
          <w:tcPr>
            <w:tcW w:w="1512"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560" w:lineRule="exact"/>
              <w:ind w:firstLine="560" w:firstLineChars="200"/>
              <w:jc w:val="left"/>
              <w:rPr>
                <w:rFonts w:hint="default" w:eastAsia="宋体"/>
                <w:sz w:val="28"/>
                <w:szCs w:val="36"/>
                <w:lang w:val="en-US" w:eastAsia="zh-CN"/>
              </w:rPr>
            </w:pPr>
            <w:r>
              <w:rPr>
                <w:rFonts w:hint="eastAsia"/>
                <w:sz w:val="28"/>
                <w:szCs w:val="36"/>
                <w:lang w:val="en-US" w:eastAsia="zh-CN"/>
              </w:rPr>
              <w:t>550</w:t>
            </w:r>
          </w:p>
        </w:tc>
      </w:tr>
    </w:tbl>
    <w:p>
      <w:pPr>
        <w:pStyle w:val="7"/>
        <w:rPr>
          <w:rFonts w:hint="eastAsia"/>
          <w:lang w:eastAsia="zh-CN"/>
        </w:rPr>
      </w:pPr>
    </w:p>
    <w:p>
      <w:pPr>
        <w:spacing w:line="360" w:lineRule="auto"/>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备注：</w:t>
      </w:r>
    </w:p>
    <w:p>
      <w:pPr>
        <w:spacing w:line="360" w:lineRule="exact"/>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1.工作内容：</w:t>
      </w:r>
      <w:r>
        <w:rPr>
          <w:rFonts w:hint="eastAsia" w:asciiTheme="minorEastAsia" w:hAnsiTheme="minorEastAsia" w:eastAsiaTheme="minorEastAsia"/>
          <w:szCs w:val="21"/>
          <w:highlight w:val="none"/>
        </w:rPr>
        <w:t>包含材料</w:t>
      </w:r>
      <w:r>
        <w:rPr>
          <w:rFonts w:hint="eastAsia" w:asciiTheme="minorEastAsia" w:hAnsiTheme="minorEastAsia" w:eastAsiaTheme="minorEastAsia"/>
          <w:szCs w:val="21"/>
          <w:highlight w:val="none"/>
          <w:lang w:eastAsia="zh-CN"/>
        </w:rPr>
        <w:t>到货</w:t>
      </w:r>
      <w:r>
        <w:rPr>
          <w:rFonts w:hint="eastAsia" w:asciiTheme="minorEastAsia" w:hAnsiTheme="minorEastAsia" w:eastAsiaTheme="minorEastAsia"/>
          <w:szCs w:val="21"/>
          <w:highlight w:val="none"/>
        </w:rPr>
        <w:t>卸车</w:t>
      </w:r>
      <w:r>
        <w:rPr>
          <w:rFonts w:hint="eastAsia" w:asciiTheme="minorEastAsia" w:hAnsiTheme="minorEastAsia" w:eastAsiaTheme="minorEastAsia"/>
          <w:szCs w:val="21"/>
          <w:highlight w:val="none"/>
          <w:lang w:eastAsia="zh-CN"/>
        </w:rPr>
        <w:t>入库</w:t>
      </w:r>
      <w:r>
        <w:rPr>
          <w:rFonts w:hint="eastAsia" w:asciiTheme="minorEastAsia" w:hAnsiTheme="minorEastAsia" w:eastAsiaTheme="minorEastAsia"/>
          <w:szCs w:val="21"/>
        </w:rPr>
        <w:t>、从构件生产至成品堆放到指定地点等相关工作。并负责现场6</w:t>
      </w:r>
      <w:r>
        <w:rPr>
          <w:rFonts w:asciiTheme="minorEastAsia" w:hAnsiTheme="minorEastAsia" w:eastAsiaTheme="minorEastAsia"/>
          <w:szCs w:val="21"/>
        </w:rPr>
        <w:t>S</w:t>
      </w:r>
      <w:r>
        <w:rPr>
          <w:rFonts w:hint="eastAsia" w:asciiTheme="minorEastAsia" w:hAnsiTheme="minorEastAsia" w:eastAsiaTheme="minorEastAsia"/>
          <w:szCs w:val="21"/>
        </w:rPr>
        <w:t>管理、安全管理、设备日常维护点检等相关工作。</w:t>
      </w:r>
    </w:p>
    <w:p>
      <w:pPr>
        <w:spacing w:line="360" w:lineRule="exact"/>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以上固定综合单价为包干单价，固定综合单价包括:价格中均包含了乙方施工过程中所有可能涉及到费用的总和，包括但不限于人工费、辅材费、工机具费用、管理费、利润、税金(按3%增值税专用发票开具)、政策性文件调整、风险等全部费用。无论甲方提供的图纸有多大难易程度及其他条件不作改变，乙方承诺除按以上固定综合单价结算费用外，今后不再追加任何费用。甲乙双方结算依据为:图纸、设计变更、设计回复、签证单，其他任何形式的现场工程记录资料不作为结算依据。</w:t>
      </w:r>
    </w:p>
    <w:p>
      <w:pPr>
        <w:spacing w:line="360" w:lineRule="exact"/>
        <w:ind w:firstLine="420" w:firstLineChars="200"/>
        <w:rPr>
          <w:sz w:val="18"/>
          <w:szCs w:val="21"/>
        </w:rPr>
      </w:pPr>
      <w:r>
        <w:rPr>
          <w:rFonts w:asciiTheme="minorEastAsia" w:hAnsiTheme="minorEastAsia" w:eastAsiaTheme="minorEastAsia"/>
          <w:szCs w:val="21"/>
        </w:rPr>
        <w:t>3.</w:t>
      </w:r>
      <w:r>
        <w:rPr>
          <w:rFonts w:hint="eastAsia" w:asciiTheme="minorEastAsia" w:hAnsiTheme="minorEastAsia" w:eastAsiaTheme="minorEastAsia" w:cstheme="minorEastAsia"/>
          <w:b/>
          <w:bCs/>
          <w:kern w:val="0"/>
          <w:szCs w:val="21"/>
          <w:lang w:val="zh-CN"/>
        </w:rPr>
        <w:t xml:space="preserve"> </w:t>
      </w:r>
      <w:r>
        <w:rPr>
          <w:rFonts w:hint="eastAsia" w:asciiTheme="minorEastAsia" w:hAnsiTheme="minorEastAsia" w:eastAsiaTheme="minorEastAsia" w:cstheme="minorEastAsia"/>
          <w:kern w:val="0"/>
          <w:szCs w:val="21"/>
          <w:lang w:val="zh-CN"/>
        </w:rPr>
        <w:t>甲方提供生产场地、生产所需图纸、技术指导及厂区内水电。甲方提供主材（钢筋、桁架筋、混凝土）、保温板、保温连接件、灌浆套筒、</w:t>
      </w:r>
      <w:r>
        <w:rPr>
          <w:rFonts w:hint="eastAsia" w:asciiTheme="minorEastAsia" w:hAnsiTheme="minorEastAsia" w:eastAsiaTheme="minorEastAsia" w:cstheme="minorEastAsia"/>
          <w:kern w:val="0"/>
          <w:szCs w:val="21"/>
        </w:rPr>
        <w:t>吊点、线盒、磁盒（正常使用年限不得低于3年）、PVC管、生产线、起重设备、运输车辆、定型模具、木材、竹胶板、磁铁、压铁</w:t>
      </w:r>
      <w:r>
        <w:rPr>
          <w:rFonts w:hint="eastAsia" w:asciiTheme="minorEastAsia" w:hAnsiTheme="minorEastAsia" w:eastAsiaTheme="minorEastAsia" w:cstheme="minorEastAsia"/>
          <w:kern w:val="0"/>
          <w:szCs w:val="21"/>
          <w:lang w:val="zh-CN"/>
        </w:rPr>
        <w:t>模具（</w:t>
      </w:r>
      <w:r>
        <w:rPr>
          <w:rFonts w:hint="eastAsia" w:asciiTheme="minorEastAsia" w:hAnsiTheme="minorEastAsia" w:eastAsiaTheme="minorEastAsia" w:cstheme="minorEastAsia"/>
          <w:kern w:val="0"/>
          <w:szCs w:val="21"/>
        </w:rPr>
        <w:t>只包含压铁</w:t>
      </w:r>
      <w:r>
        <w:rPr>
          <w:rFonts w:hint="eastAsia" w:asciiTheme="minorEastAsia" w:hAnsiTheme="minorEastAsia" w:eastAsiaTheme="minorEastAsia" w:cstheme="minorEastAsia"/>
          <w:kern w:val="0"/>
          <w:szCs w:val="21"/>
          <w:lang w:val="zh-CN"/>
        </w:rPr>
        <w:t>）、加工设备及机具、水洗剂、吊装用具、冲洗设备、构件存放架、生活</w:t>
      </w:r>
      <w:r>
        <w:rPr>
          <w:rFonts w:hint="eastAsia" w:asciiTheme="minorEastAsia" w:hAnsiTheme="minorEastAsia" w:eastAsiaTheme="minorEastAsia" w:cstheme="minorEastAsia"/>
          <w:kern w:val="0"/>
          <w:szCs w:val="21"/>
        </w:rPr>
        <w:t>设施</w:t>
      </w:r>
      <w:r>
        <w:rPr>
          <w:rFonts w:hint="eastAsia" w:asciiTheme="minorEastAsia" w:hAnsiTheme="minorEastAsia" w:eastAsiaTheme="minorEastAsia" w:cstheme="minorEastAsia"/>
          <w:kern w:val="0"/>
          <w:szCs w:val="21"/>
          <w:lang w:val="zh-CN"/>
        </w:rPr>
        <w:t>（包括工人及管理人员住宿、空调、卫生间、淋浴，不含餐饮及住宿产生的水电费）、</w:t>
      </w:r>
      <w:r>
        <w:rPr>
          <w:rFonts w:hint="eastAsia" w:asciiTheme="minorEastAsia" w:hAnsiTheme="minorEastAsia" w:eastAsiaTheme="minorEastAsia" w:cstheme="minorEastAsia"/>
          <w:kern w:val="0"/>
          <w:szCs w:val="21"/>
        </w:rPr>
        <w:t>生产</w:t>
      </w:r>
      <w:r>
        <w:rPr>
          <w:rFonts w:hint="eastAsia" w:asciiTheme="minorEastAsia" w:hAnsiTheme="minorEastAsia" w:eastAsiaTheme="minorEastAsia" w:cstheme="minorEastAsia"/>
          <w:kern w:val="0"/>
          <w:szCs w:val="21"/>
          <w:lang w:val="zh-CN"/>
        </w:rPr>
        <w:t>设备维护所发生的耗材耗能；其余</w:t>
      </w:r>
      <w:r>
        <w:rPr>
          <w:rFonts w:hint="eastAsia" w:asciiTheme="minorEastAsia" w:hAnsiTheme="minorEastAsia" w:eastAsiaTheme="minorEastAsia" w:cstheme="minorEastAsia"/>
          <w:kern w:val="0"/>
          <w:szCs w:val="21"/>
        </w:rPr>
        <w:t>辅材</w:t>
      </w:r>
      <w:r>
        <w:rPr>
          <w:rFonts w:hint="eastAsia" w:asciiTheme="minorEastAsia" w:hAnsiTheme="minorEastAsia" w:eastAsiaTheme="minorEastAsia" w:cstheme="minorEastAsia"/>
          <w:kern w:val="0"/>
          <w:szCs w:val="21"/>
          <w:lang w:val="zh-CN"/>
        </w:rPr>
        <w:t>均由乙方提供。</w:t>
      </w:r>
    </w:p>
    <w:p>
      <w:pPr>
        <w:pStyle w:val="17"/>
        <w:ind w:firstLine="0" w:firstLineChars="0"/>
        <w:rPr>
          <w:rFonts w:hint="eastAsia" w:ascii="宋体" w:hAnsi="宋体" w:cs="宋体"/>
          <w:sz w:val="30"/>
          <w:szCs w:val="30"/>
        </w:rPr>
      </w:pPr>
    </w:p>
    <w:p>
      <w:pPr>
        <w:pStyle w:val="7"/>
        <w:spacing w:line="360" w:lineRule="auto"/>
        <w:ind w:firstLine="602" w:firstLineChars="200"/>
        <w:rPr>
          <w:rFonts w:hAnsi="宋体" w:cs="宋体"/>
          <w:b/>
          <w:bCs/>
          <w:sz w:val="30"/>
          <w:szCs w:val="30"/>
        </w:rPr>
      </w:pPr>
      <w:r>
        <w:rPr>
          <w:rFonts w:hint="eastAsia" w:hAnsi="宋体" w:cs="宋体"/>
          <w:b/>
          <w:bCs/>
          <w:sz w:val="30"/>
          <w:szCs w:val="30"/>
          <w:lang w:val="zh-CN"/>
        </w:rPr>
        <w:t>三、</w:t>
      </w:r>
      <w:r>
        <w:rPr>
          <w:rFonts w:hint="eastAsia" w:hAnsi="宋体" w:cs="宋体"/>
          <w:b/>
          <w:bCs/>
          <w:sz w:val="30"/>
          <w:szCs w:val="30"/>
        </w:rPr>
        <w:t>合同主要条款</w:t>
      </w:r>
    </w:p>
    <w:p>
      <w:pPr>
        <w:ind w:firstLine="720" w:firstLineChars="3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mc:AlternateContent>
          <mc:Choice Requires="wps">
            <w:drawing>
              <wp:anchor distT="0" distB="0" distL="762000" distR="63500" simplePos="0" relativeHeight="251660288" behindDoc="1" locked="0" layoutInCell="1" allowOverlap="1">
                <wp:simplePos x="0" y="0"/>
                <wp:positionH relativeFrom="margin">
                  <wp:posOffset>6801485</wp:posOffset>
                </wp:positionH>
                <wp:positionV relativeFrom="paragraph">
                  <wp:posOffset>389890</wp:posOffset>
                </wp:positionV>
                <wp:extent cx="93345" cy="255905"/>
                <wp:effectExtent l="0" t="0" r="0" b="0"/>
                <wp:wrapSquare wrapText="left"/>
                <wp:docPr id="6" name="文本框 2"/>
                <wp:cNvGraphicFramePr/>
                <a:graphic xmlns:a="http://schemas.openxmlformats.org/drawingml/2006/main">
                  <a:graphicData uri="http://schemas.microsoft.com/office/word/2010/wordprocessingShape">
                    <wps:wsp>
                      <wps:cNvSpPr txBox="1"/>
                      <wps:spPr>
                        <a:xfrm>
                          <a:off x="0" y="0"/>
                          <a:ext cx="93345" cy="255905"/>
                        </a:xfrm>
                        <a:prstGeom prst="rect">
                          <a:avLst/>
                        </a:prstGeom>
                        <a:noFill/>
                        <a:ln>
                          <a:noFill/>
                        </a:ln>
                        <a:effectLst/>
                      </wps:spPr>
                      <wps:txbx>
                        <w:txbxContent>
                          <w:p>
                            <w:pPr>
                              <w:pStyle w:val="32"/>
                              <w:shd w:val="clear" w:color="auto" w:fill="auto"/>
                              <w:spacing w:line="240" w:lineRule="auto"/>
                              <w:jc w:val="left"/>
                              <w:rPr>
                                <w:rFonts w:cs="Times New Roman"/>
                              </w:rPr>
                            </w:pPr>
                            <w:r>
                              <w:rPr>
                                <w:rStyle w:val="33"/>
                              </w:rPr>
                              <w:t>T,/</w:t>
                            </w:r>
                          </w:p>
                        </w:txbxContent>
                      </wps:txbx>
                      <wps:bodyPr vert="eaVert" lIns="0" tIns="0" rIns="0" bIns="0" upright="1"/>
                    </wps:wsp>
                  </a:graphicData>
                </a:graphic>
              </wp:anchor>
            </w:drawing>
          </mc:Choice>
          <mc:Fallback>
            <w:pict>
              <v:shape id="文本框 2" o:spid="_x0000_s1026" o:spt="202" type="#_x0000_t202" style="position:absolute;left:0pt;margin-left:535.55pt;margin-top:30.7pt;height:20.15pt;width:7.35pt;mso-position-horizontal-relative:margin;mso-wrap-distance-bottom:0pt;mso-wrap-distance-left:60pt;mso-wrap-distance-right:5pt;mso-wrap-distance-top:0pt;z-index:-251656192;mso-width-relative:page;mso-height-relative:page;" filled="f" stroked="f" coordsize="21600,21600" o:gfxdata="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0mWKX9YAAAAMAQAADwAAAAAAAAABACAAAAAiAAAAZHJzL2Rvd25y&#10;ZXYueG1sUEsBAhQAFAAAAAgAh07iQIYqJ9HHAQAAjAMAAA4AAAAAAAAAAQAgAAAAJQEAAGRycy9l&#10;Mm9Eb2MueG1sUEsFBgAAAAAGAAYAWQEAAF4FAAAAAA==&#10;">
                <v:fill on="f" focussize="0,0"/>
                <v:stroke on="f"/>
                <v:imagedata o:title=""/>
                <o:lock v:ext="edit" aspectratio="f"/>
                <v:textbox inset="0mm,0mm,0mm,0mm" style="layout-flow:vertical-ideographic;">
                  <w:txbxContent>
                    <w:p>
                      <w:pPr>
                        <w:pStyle w:val="32"/>
                        <w:shd w:val="clear" w:color="auto" w:fill="auto"/>
                        <w:spacing w:line="240" w:lineRule="auto"/>
                        <w:jc w:val="left"/>
                        <w:rPr>
                          <w:rFonts w:cs="Times New Roman"/>
                        </w:rPr>
                      </w:pPr>
                      <w:r>
                        <w:rPr>
                          <w:rStyle w:val="33"/>
                        </w:rPr>
                        <w:t>T,/</w:t>
                      </w:r>
                    </w:p>
                  </w:txbxContent>
                </v:textbox>
                <w10:wrap type="square" side="left"/>
              </v:shape>
            </w:pict>
          </mc:Fallback>
        </mc:AlternateContent>
      </w:r>
      <w:r>
        <w:rPr>
          <w:rFonts w:hint="eastAsia" w:asciiTheme="minorEastAsia" w:hAnsiTheme="minorEastAsia" w:eastAsiaTheme="minorEastAsia" w:cstheme="minorEastAsia"/>
          <w:kern w:val="0"/>
          <w:sz w:val="24"/>
          <w:lang w:val="zh-CN"/>
        </w:rPr>
        <w:t>鉴于甲乙双方已充分了解本生产线劳务承包具体情况，根据《中华人民共和国民法典》《中华人民共和国建筑法》《建设工程质量管理条例》及其他有关法律、行政法规，</w:t>
      </w:r>
      <w:r>
        <w:rPr>
          <w:rFonts w:hint="eastAsia" w:asciiTheme="minorEastAsia" w:hAnsiTheme="minorEastAsia" w:eastAsiaTheme="minorEastAsia" w:cstheme="minorEastAsia"/>
          <w:kern w:val="0"/>
          <w:sz w:val="24"/>
        </w:rPr>
        <w:t>遵循平等、</w:t>
      </w:r>
      <w:r>
        <w:rPr>
          <w:rFonts w:hint="eastAsia" w:asciiTheme="minorEastAsia" w:hAnsiTheme="minorEastAsia" w:eastAsiaTheme="minorEastAsia" w:cstheme="minorEastAsia"/>
          <w:kern w:val="0"/>
          <w:sz w:val="24"/>
          <w:lang w:val="zh-CN"/>
        </w:rPr>
        <w:t>自愿、公平和诚实信用的原则，双方经协商达成一致，订立本合同</w:t>
      </w:r>
      <w:r>
        <w:rPr>
          <w:rFonts w:hint="eastAsia" w:asciiTheme="minorEastAsia" w:hAnsiTheme="minorEastAsia" w:eastAsiaTheme="minorEastAsia" w:cstheme="minorEastAsia"/>
          <w:kern w:val="0"/>
          <w:sz w:val="24"/>
        </w:rPr>
        <w:t>。</w:t>
      </w:r>
    </w:p>
    <w:p>
      <w:pPr>
        <w:ind w:left="2239" w:leftChars="266" w:hanging="1680" w:hangingChars="700"/>
        <w:jc w:val="left"/>
        <w:rPr>
          <w:rFonts w:asciiTheme="minorEastAsia" w:hAnsiTheme="minorEastAsia" w:eastAsiaTheme="minorEastAsia" w:cstheme="minorEastAsia"/>
          <w:b/>
          <w:bCs/>
          <w:kern w:val="0"/>
          <w:sz w:val="24"/>
          <w:u w:val="single"/>
        </w:rPr>
      </w:pPr>
      <w:r>
        <w:rPr>
          <w:rFonts w:hint="eastAsia" w:asciiTheme="minorEastAsia" w:hAnsiTheme="minorEastAsia" w:eastAsiaTheme="minorEastAsia" w:cstheme="minorEastAsia"/>
          <w:kern w:val="0"/>
          <w:sz w:val="24"/>
          <w:lang w:val="zh-CN"/>
        </w:rPr>
        <w:t>一、承包范围：</w:t>
      </w:r>
      <w:r>
        <w:rPr>
          <w:rFonts w:hint="eastAsia" w:asciiTheme="minorEastAsia" w:hAnsiTheme="minorEastAsia" w:eastAsiaTheme="minorEastAsia" w:cstheme="minorEastAsia"/>
          <w:kern w:val="0"/>
          <w:sz w:val="24"/>
          <w:u w:val="single"/>
        </w:rPr>
        <w:t>安徽中冶淮海装配式建筑有限公司预制构件劳务承包</w:t>
      </w:r>
    </w:p>
    <w:p>
      <w:pPr>
        <w:ind w:firstLine="480" w:firstLineChars="2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lang w:val="zh-CN"/>
        </w:rPr>
        <w:t>二、履约地点：</w:t>
      </w:r>
      <w:r>
        <w:rPr>
          <w:rFonts w:hint="eastAsia" w:asciiTheme="minorEastAsia" w:hAnsiTheme="minorEastAsia" w:eastAsiaTheme="minorEastAsia" w:cstheme="minorEastAsia"/>
          <w:kern w:val="0"/>
          <w:sz w:val="24"/>
          <w:u w:val="single"/>
        </w:rPr>
        <w:t>安徽中冶淮海装配式建筑有限公司</w:t>
      </w:r>
    </w:p>
    <w:p>
      <w:pPr>
        <w:ind w:firstLine="480" w:firstLineChars="2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lang w:val="zh-CN"/>
        </w:rPr>
        <w:t>三、合同期限</w:t>
      </w:r>
      <w:r>
        <w:rPr>
          <w:rFonts w:hint="eastAsia" w:asciiTheme="minorEastAsia" w:hAnsiTheme="minorEastAsia" w:eastAsiaTheme="minorEastAsia" w:cstheme="minorEastAsia"/>
          <w:kern w:val="0"/>
          <w:sz w:val="24"/>
        </w:rPr>
        <w:t>：按照甲方的生产计划</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四、承包内容：</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rPr>
        <w:t>4.1</w:t>
      </w:r>
      <w:r>
        <w:rPr>
          <w:rFonts w:hint="eastAsia" w:asciiTheme="minorEastAsia" w:hAnsiTheme="minorEastAsia" w:eastAsiaTheme="minorEastAsia" w:cstheme="minorEastAsia"/>
          <w:kern w:val="0"/>
          <w:sz w:val="24"/>
          <w:lang w:val="zh-CN"/>
        </w:rPr>
        <w:t>依据甲方下发的构件图纸、图集和甲方生产计划文件要求，完成承包构件生产及验收。</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包括但不限于：</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a、预制构件生产线操作，配合生产线的维修、保养；</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b、生产平台打磨、清理、涂刷脱模剂；</w:t>
      </w:r>
    </w:p>
    <w:p>
      <w:pPr>
        <w:ind w:firstLine="480" w:firstLineChars="200"/>
        <w:rPr>
          <w:rFonts w:asciiTheme="minorEastAsia" w:hAnsiTheme="minorEastAsia" w:eastAsiaTheme="minorEastAsia" w:cstheme="minorEastAsia"/>
          <w:kern w:val="0"/>
          <w:sz w:val="24"/>
        </w:rPr>
      </w:pPr>
      <w:r>
        <w:rPr>
          <w:rFonts w:asciiTheme="minorEastAsia" w:hAnsiTheme="minorEastAsia" w:eastAsiaTheme="minorEastAsia" w:cstheme="minorEastAsia"/>
          <w:kern w:val="0"/>
          <w:sz w:val="24"/>
          <w:lang w:val="zh-CN"/>
        </w:rPr>
        <w:t>c</w:t>
      </w:r>
      <w:r>
        <w:rPr>
          <w:rFonts w:hint="eastAsia" w:asciiTheme="minorEastAsia" w:hAnsiTheme="minorEastAsia" w:eastAsiaTheme="minorEastAsia" w:cstheme="minorEastAsia"/>
          <w:kern w:val="0"/>
          <w:sz w:val="24"/>
          <w:lang w:val="zh-CN"/>
        </w:rPr>
        <w:t>、模具组装、拆卸、打磨清理、水洗剂、磁条安拆、夹钢板U型皮条安拆，</w:t>
      </w:r>
      <w:r>
        <w:rPr>
          <w:rFonts w:hint="eastAsia" w:asciiTheme="minorEastAsia" w:hAnsiTheme="minorEastAsia" w:eastAsiaTheme="minorEastAsia" w:cstheme="minorEastAsia"/>
          <w:kern w:val="0"/>
          <w:sz w:val="24"/>
        </w:rPr>
        <w:t>废旧模具分项打包、入库；</w:t>
      </w:r>
    </w:p>
    <w:p>
      <w:pPr>
        <w:ind w:firstLine="480" w:firstLineChars="200"/>
        <w:rPr>
          <w:rFonts w:hint="eastAsia" w:asciiTheme="minorEastAsia" w:hAnsiTheme="minorEastAsia" w:eastAsiaTheme="minorEastAsia" w:cstheme="minorEastAsia"/>
          <w:kern w:val="0"/>
          <w:sz w:val="24"/>
          <w:lang w:val="zh-CN"/>
        </w:rPr>
      </w:pPr>
      <w:r>
        <w:rPr>
          <w:rFonts w:asciiTheme="minorEastAsia" w:hAnsiTheme="minorEastAsia" w:eastAsiaTheme="minorEastAsia" w:cstheme="minorEastAsia"/>
          <w:kern w:val="0"/>
          <w:sz w:val="24"/>
          <w:lang w:val="zh-CN"/>
        </w:rPr>
        <w:t>d</w:t>
      </w:r>
      <w:r>
        <w:rPr>
          <w:rFonts w:hint="eastAsia" w:asciiTheme="minorEastAsia" w:hAnsiTheme="minorEastAsia" w:eastAsiaTheme="minorEastAsia" w:cstheme="minorEastAsia"/>
          <w:kern w:val="0"/>
          <w:sz w:val="24"/>
          <w:lang w:val="zh-CN"/>
        </w:rPr>
        <w:t>、</w:t>
      </w:r>
      <w:r>
        <w:rPr>
          <w:rFonts w:hint="eastAsia" w:asciiTheme="minorEastAsia" w:hAnsiTheme="minorEastAsia" w:eastAsiaTheme="minorEastAsia" w:cstheme="minorEastAsia"/>
          <w:kern w:val="0"/>
          <w:sz w:val="24"/>
          <w:highlight w:val="none"/>
          <w:lang w:val="zh-CN"/>
        </w:rPr>
        <w:t>钢筋加工件运输</w:t>
      </w:r>
      <w:r>
        <w:rPr>
          <w:rFonts w:hint="eastAsia" w:asciiTheme="minorEastAsia" w:hAnsiTheme="minorEastAsia" w:eastAsiaTheme="minorEastAsia" w:cstheme="minorEastAsia"/>
          <w:kern w:val="0"/>
          <w:sz w:val="24"/>
          <w:lang w:val="zh-CN"/>
        </w:rPr>
        <w:t>、埋件、工装预埋件、水电配件的埋件的定位、安放等；</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e、混凝土浇筑（混凝土浇筑完毕后表面不允许出现胀模、蜂窝、麻面、气泡、爆皮、裂纹等质量缺陷。含保温板预埋）；</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f、混凝土养护（自然养护、蒸汽养护及蒸汽养护过程监控、养护温度记录），构件蒸汽养护结束入库时抗压强度必须达到设计强度的75%。</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g、线盒安装、埋件预留、孔洞预留及模具封堵；</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h、构件编码喷涂、吊装、运输（厂区范围内）；</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i、预制构件和甲供材料的装车、卸车、码放</w:t>
      </w:r>
      <w:r>
        <w:rPr>
          <w:rFonts w:hint="eastAsia" w:asciiTheme="minorEastAsia" w:hAnsiTheme="minorEastAsia" w:eastAsiaTheme="minorEastAsia" w:cstheme="minorEastAsia"/>
          <w:kern w:val="0"/>
          <w:sz w:val="24"/>
        </w:rPr>
        <w:t>及生产材料盘存</w:t>
      </w:r>
      <w:r>
        <w:rPr>
          <w:rFonts w:hint="eastAsia" w:asciiTheme="minorEastAsia" w:hAnsiTheme="minorEastAsia" w:eastAsiaTheme="minorEastAsia" w:cstheme="minorEastAsia"/>
          <w:kern w:val="0"/>
          <w:sz w:val="24"/>
          <w:lang w:val="zh-CN"/>
        </w:rPr>
        <w:t>；</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j、配合厂区范围内的所有机械、设备的维修、保养工作；</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k、厂区范围内的所有机械设备、吊车、运输车需配备专门的司机；</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rPr>
        <w:t>l</w:t>
      </w:r>
      <w:r>
        <w:rPr>
          <w:rFonts w:hint="eastAsia" w:asciiTheme="minorEastAsia" w:hAnsiTheme="minorEastAsia" w:eastAsiaTheme="minorEastAsia" w:cstheme="minorEastAsia"/>
          <w:kern w:val="0"/>
          <w:sz w:val="24"/>
          <w:lang w:val="zh-CN"/>
        </w:rPr>
        <w:t>、构件使用混凝土布料机、鱼雷罐、混凝土运输罐车、料场清理及生产过程中建筑垃圾清理并运输到甲方指定地点；</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m、原材料试验检验的所有配合工作（配合钢筋、混凝土原材料取样、送检、混凝土试块制作、送检）；</w:t>
      </w:r>
    </w:p>
    <w:p>
      <w:pPr>
        <w:ind w:firstLine="480" w:firstLineChars="200"/>
        <w:rPr>
          <w:rFonts w:asciiTheme="minorEastAsia" w:hAnsiTheme="minorEastAsia" w:eastAsiaTheme="minorEastAsia" w:cstheme="minorEastAsia"/>
          <w:b/>
          <w:bCs/>
          <w:kern w:val="0"/>
          <w:sz w:val="24"/>
        </w:rPr>
      </w:pPr>
      <w:r>
        <w:rPr>
          <w:rFonts w:hint="eastAsia" w:asciiTheme="minorEastAsia" w:hAnsiTheme="minorEastAsia" w:eastAsiaTheme="minorEastAsia" w:cstheme="minorEastAsia"/>
          <w:kern w:val="0"/>
          <w:sz w:val="24"/>
          <w:lang w:val="zh-CN"/>
        </w:rPr>
        <w:t>n、作业区与生活区的卫生清洁工作，</w:t>
      </w:r>
      <w:r>
        <w:rPr>
          <w:rFonts w:hint="eastAsia" w:asciiTheme="minorEastAsia" w:hAnsiTheme="minorEastAsia" w:eastAsiaTheme="minorEastAsia" w:cstheme="minorEastAsia"/>
          <w:kern w:val="0"/>
          <w:sz w:val="24"/>
        </w:rPr>
        <w:t>保证</w:t>
      </w:r>
      <w:r>
        <w:rPr>
          <w:rFonts w:hint="eastAsia" w:asciiTheme="minorEastAsia" w:hAnsiTheme="minorEastAsia" w:eastAsiaTheme="minorEastAsia" w:cstheme="minorEastAsia"/>
          <w:kern w:val="0"/>
          <w:sz w:val="24"/>
          <w:lang w:val="zh-CN"/>
        </w:rPr>
        <w:t>生产车间</w:t>
      </w:r>
      <w:r>
        <w:rPr>
          <w:rFonts w:hint="eastAsia" w:asciiTheme="minorEastAsia" w:hAnsiTheme="minorEastAsia" w:eastAsiaTheme="minorEastAsia" w:cstheme="minorEastAsia"/>
          <w:kern w:val="0"/>
          <w:sz w:val="24"/>
        </w:rPr>
        <w:t>及</w:t>
      </w:r>
      <w:r>
        <w:rPr>
          <w:rFonts w:hint="eastAsia" w:asciiTheme="minorEastAsia" w:hAnsiTheme="minorEastAsia" w:eastAsiaTheme="minorEastAsia" w:cstheme="minorEastAsia"/>
          <w:kern w:val="0"/>
          <w:sz w:val="24"/>
          <w:lang w:val="zh-CN"/>
        </w:rPr>
        <w:t>生活区的餐厅、浴室、厕所等卫生整洁；</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o、需要上交的资料有：构件生产过程工序交接单、构件养护过程温度变化、时间记录表。使构件生产养护全过程处于受控状态。</w:t>
      </w:r>
    </w:p>
    <w:p>
      <w:pPr>
        <w:ind w:firstLine="480" w:firstLineChars="2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p</w:t>
      </w:r>
      <w:r>
        <w:rPr>
          <w:rFonts w:hint="eastAsia" w:asciiTheme="minorEastAsia" w:hAnsiTheme="minorEastAsia" w:eastAsiaTheme="minorEastAsia" w:cstheme="minorEastAsia"/>
          <w:color w:val="auto"/>
          <w:kern w:val="0"/>
          <w:sz w:val="24"/>
        </w:rPr>
        <w:t>、乙方负责堆场构件整理，配合甲方堆场6S管理，堆场空间规整的责任人。</w:t>
      </w:r>
    </w:p>
    <w:p>
      <w:pPr>
        <w:ind w:firstLine="480" w:firstLineChars="2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q、配合甲方生产升级过程中的其它事项。</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包括安装工程在施工图上的预留孔、洞的预留及预埋、安装；混凝土结构超出规范标准的剔凿修复；周转材料的装车、卸车、倒运、码垛及维修管理、各种甲供材料的卸车、二次搬运；施工区域内的电力照明设施的维护；</w:t>
      </w:r>
      <w:r>
        <w:rPr>
          <w:rFonts w:hint="eastAsia" w:asciiTheme="minorEastAsia" w:hAnsiTheme="minorEastAsia" w:eastAsiaTheme="minorEastAsia" w:cstheme="minorEastAsia"/>
          <w:b/>
          <w:bCs/>
          <w:kern w:val="0"/>
          <w:sz w:val="24"/>
          <w:lang w:val="zh-CN"/>
        </w:rPr>
        <w:t>施工区域内的安全文明施工、各种抢险（下雨、刮风、下雪、救火等）及迎接上级公司、政府部门各种检查用工。材料试验、检验发生的所有配合工作、工完料净、将建筑垃圾清理至甲方指定地点</w:t>
      </w:r>
      <w:r>
        <w:rPr>
          <w:rFonts w:hint="eastAsia" w:asciiTheme="minorEastAsia" w:hAnsiTheme="minorEastAsia" w:eastAsiaTheme="minorEastAsia" w:cstheme="minorEastAsia"/>
          <w:kern w:val="0"/>
          <w:sz w:val="24"/>
          <w:lang w:val="zh-CN"/>
        </w:rPr>
        <w:t>。</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除上述工作外，由上述工作可合理推论得到的对完成上述工作的稳定、完整、安全、可靠及有效运行所包含的全部工作。</w:t>
      </w:r>
    </w:p>
    <w:p>
      <w:pPr>
        <w:ind w:firstLine="480" w:firstLineChars="2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lang w:val="zh-CN"/>
        </w:rPr>
        <w:t>五、计价方式：</w:t>
      </w:r>
    </w:p>
    <w:p>
      <w:pPr>
        <w:pStyle w:val="9"/>
        <w:spacing w:line="360" w:lineRule="auto"/>
        <w:ind w:firstLine="120" w:firstLineChars="5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5.1固定综合单价包括：</w:t>
      </w:r>
      <w:r>
        <w:rPr>
          <w:rFonts w:hint="eastAsia" w:asciiTheme="minorEastAsia" w:hAnsiTheme="minorEastAsia" w:eastAsiaTheme="minorEastAsia" w:cstheme="minorEastAsia"/>
          <w:b/>
          <w:bCs/>
          <w:sz w:val="24"/>
          <w:u w:val="single"/>
        </w:rPr>
        <w:t>价格中均包含了乙方施工过程中所有可能涉及到费用的总和，包括了人工费、辅材费、工机具费用、管理费、利润、税金</w:t>
      </w:r>
      <w:r>
        <w:rPr>
          <w:rFonts w:hint="eastAsia" w:asciiTheme="minorEastAsia" w:hAnsiTheme="minorEastAsia" w:eastAsiaTheme="minorEastAsia" w:cstheme="minorEastAsia"/>
          <w:b/>
          <w:bCs/>
          <w:kern w:val="0"/>
          <w:sz w:val="24"/>
          <w:u w:val="single"/>
          <w:lang w:val="zh-CN"/>
        </w:rPr>
        <w:t>（</w:t>
      </w:r>
      <w:r>
        <w:rPr>
          <w:rFonts w:hint="eastAsia" w:asciiTheme="minorEastAsia" w:hAnsiTheme="minorEastAsia" w:eastAsiaTheme="minorEastAsia" w:cstheme="minorEastAsia"/>
          <w:b/>
          <w:bCs/>
          <w:kern w:val="0"/>
          <w:sz w:val="24"/>
          <w:u w:val="single"/>
        </w:rPr>
        <w:t>按 3%增值税专用发票开具）、</w:t>
      </w:r>
      <w:r>
        <w:rPr>
          <w:rFonts w:hint="eastAsia" w:asciiTheme="minorEastAsia" w:hAnsiTheme="minorEastAsia" w:eastAsiaTheme="minorEastAsia" w:cstheme="minorEastAsia"/>
          <w:b/>
          <w:bCs/>
          <w:sz w:val="24"/>
          <w:u w:val="single"/>
        </w:rPr>
        <w:t>政策性文件调整、风险等全部费用。</w:t>
      </w:r>
    </w:p>
    <w:tbl>
      <w:tblPr>
        <w:tblStyle w:val="14"/>
        <w:tblpPr w:leftFromText="180" w:rightFromText="180" w:vertAnchor="text" w:horzAnchor="margin" w:tblpY="53"/>
        <w:tblW w:w="8262" w:type="dxa"/>
        <w:tblInd w:w="0" w:type="dxa"/>
        <w:tblLayout w:type="fixed"/>
        <w:tblCellMar>
          <w:top w:w="0" w:type="dxa"/>
          <w:left w:w="10" w:type="dxa"/>
          <w:bottom w:w="0" w:type="dxa"/>
          <w:right w:w="10" w:type="dxa"/>
        </w:tblCellMar>
      </w:tblPr>
      <w:tblGrid>
        <w:gridCol w:w="745"/>
        <w:gridCol w:w="3012"/>
        <w:gridCol w:w="1619"/>
        <w:gridCol w:w="1020"/>
        <w:gridCol w:w="1866"/>
      </w:tblGrid>
      <w:tr>
        <w:tblPrEx>
          <w:tblCellMar>
            <w:top w:w="0" w:type="dxa"/>
            <w:left w:w="10" w:type="dxa"/>
            <w:bottom w:w="0" w:type="dxa"/>
            <w:right w:w="10" w:type="dxa"/>
          </w:tblCellMar>
        </w:tblPrEx>
        <w:trPr>
          <w:trHeight w:val="842" w:hRule="exact"/>
        </w:trPr>
        <w:tc>
          <w:tcPr>
            <w:tcW w:w="8262" w:type="dxa"/>
            <w:gridSpan w:val="5"/>
            <w:tcBorders>
              <w:top w:val="single" w:color="auto" w:sz="4" w:space="0"/>
              <w:left w:val="single" w:color="auto" w:sz="4" w:space="0"/>
              <w:right w:val="single" w:color="auto" w:sz="4" w:space="0"/>
            </w:tcBorders>
            <w:shd w:val="clear" w:color="auto" w:fill="FFFFFF"/>
            <w:vAlign w:val="center"/>
          </w:tcPr>
          <w:p>
            <w:pPr>
              <w:spacing w:line="560" w:lineRule="exact"/>
              <w:ind w:firstLine="480" w:firstLineChars="20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预制构件综合单价表</w:t>
            </w:r>
            <w:r>
              <w:rPr>
                <w:rFonts w:hint="eastAsia" w:asciiTheme="minorEastAsia" w:hAnsiTheme="minorEastAsia" w:eastAsiaTheme="minorEastAsia" w:cstheme="minorEastAsia"/>
                <w:kern w:val="0"/>
                <w:sz w:val="24"/>
              </w:rPr>
              <w:tab/>
            </w:r>
            <w:r>
              <w:rPr>
                <w:rFonts w:hint="eastAsia" w:asciiTheme="minorEastAsia" w:hAnsiTheme="minorEastAsia" w:eastAsiaTheme="minorEastAsia" w:cstheme="minorEastAsia"/>
                <w:kern w:val="0"/>
                <w:sz w:val="24"/>
              </w:rPr>
              <w:t>（单位：元/M3）</w:t>
            </w:r>
          </w:p>
        </w:tc>
      </w:tr>
      <w:tr>
        <w:tblPrEx>
          <w:tblCellMar>
            <w:top w:w="0" w:type="dxa"/>
            <w:left w:w="10" w:type="dxa"/>
            <w:bottom w:w="0" w:type="dxa"/>
            <w:right w:w="10" w:type="dxa"/>
          </w:tblCellMar>
        </w:tblPrEx>
        <w:trPr>
          <w:trHeight w:val="707" w:hRule="exact"/>
        </w:trPr>
        <w:tc>
          <w:tcPr>
            <w:tcW w:w="745" w:type="dxa"/>
            <w:tcBorders>
              <w:top w:val="single" w:color="auto" w:sz="4" w:space="0"/>
              <w:left w:val="single" w:color="auto" w:sz="4" w:space="0"/>
            </w:tcBorders>
            <w:shd w:val="clear" w:color="auto" w:fill="FFFFFF"/>
            <w:vAlign w:val="center"/>
          </w:tcPr>
          <w:p>
            <w:pPr>
              <w:spacing w:line="560" w:lineRule="exact"/>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序号</w:t>
            </w:r>
          </w:p>
        </w:tc>
        <w:tc>
          <w:tcPr>
            <w:tcW w:w="3012" w:type="dxa"/>
            <w:tcBorders>
              <w:top w:val="single" w:color="auto" w:sz="4" w:space="0"/>
              <w:left w:val="single" w:color="auto" w:sz="4" w:space="0"/>
            </w:tcBorders>
            <w:shd w:val="clear" w:color="auto" w:fill="FFFFFF"/>
            <w:vAlign w:val="center"/>
          </w:tcPr>
          <w:p>
            <w:pPr>
              <w:spacing w:line="560" w:lineRule="exact"/>
              <w:ind w:firstLine="480" w:firstLineChars="200"/>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构件名称</w:t>
            </w:r>
          </w:p>
        </w:tc>
        <w:tc>
          <w:tcPr>
            <w:tcW w:w="1619" w:type="dxa"/>
            <w:tcBorders>
              <w:top w:val="single" w:color="auto" w:sz="4" w:space="0"/>
              <w:left w:val="single" w:color="auto" w:sz="4" w:space="0"/>
            </w:tcBorders>
            <w:shd w:val="clear" w:color="auto" w:fill="FFFFFF"/>
            <w:vAlign w:val="center"/>
          </w:tcPr>
          <w:p>
            <w:pPr>
              <w:spacing w:line="560" w:lineRule="exact"/>
              <w:ind w:firstLine="120" w:firstLineChars="50"/>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规格</w:t>
            </w:r>
          </w:p>
        </w:tc>
        <w:tc>
          <w:tcPr>
            <w:tcW w:w="1020" w:type="dxa"/>
            <w:tcBorders>
              <w:top w:val="single" w:color="auto" w:sz="4" w:space="0"/>
              <w:left w:val="single" w:color="auto" w:sz="4" w:space="0"/>
            </w:tcBorders>
            <w:shd w:val="clear" w:color="auto" w:fill="FFFFFF"/>
            <w:vAlign w:val="center"/>
          </w:tcPr>
          <w:p>
            <w:pPr>
              <w:spacing w:line="560" w:lineRule="exact"/>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单位</w:t>
            </w:r>
          </w:p>
        </w:tc>
        <w:tc>
          <w:tcPr>
            <w:tcW w:w="1866" w:type="dxa"/>
            <w:tcBorders>
              <w:top w:val="single" w:color="auto" w:sz="4" w:space="0"/>
              <w:left w:val="single" w:color="auto" w:sz="4" w:space="0"/>
              <w:right w:val="single" w:color="auto" w:sz="4" w:space="0"/>
            </w:tcBorders>
            <w:shd w:val="clear" w:color="auto" w:fill="FFFFFF"/>
            <w:vAlign w:val="center"/>
          </w:tcPr>
          <w:p>
            <w:pPr>
              <w:spacing w:line="560" w:lineRule="exact"/>
              <w:ind w:firstLine="240" w:firstLineChars="100"/>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综合单价（元）/M3）</w:t>
            </w:r>
          </w:p>
        </w:tc>
      </w:tr>
      <w:tr>
        <w:tblPrEx>
          <w:tblCellMar>
            <w:top w:w="0" w:type="dxa"/>
            <w:left w:w="10" w:type="dxa"/>
            <w:bottom w:w="0" w:type="dxa"/>
            <w:right w:w="10" w:type="dxa"/>
          </w:tblCellMar>
        </w:tblPrEx>
        <w:trPr>
          <w:trHeight w:val="753" w:hRule="exact"/>
        </w:trPr>
        <w:tc>
          <w:tcPr>
            <w:tcW w:w="745"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1</w:t>
            </w:r>
          </w:p>
        </w:tc>
        <w:tc>
          <w:tcPr>
            <w:tcW w:w="3012"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预制叠合板</w:t>
            </w:r>
          </w:p>
        </w:tc>
        <w:tc>
          <w:tcPr>
            <w:tcW w:w="1619"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依设计图</w:t>
            </w:r>
          </w:p>
        </w:tc>
        <w:tc>
          <w:tcPr>
            <w:tcW w:w="1020"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M³</w:t>
            </w:r>
          </w:p>
        </w:tc>
        <w:tc>
          <w:tcPr>
            <w:tcW w:w="1866" w:type="dxa"/>
            <w:tcBorders>
              <w:top w:val="single" w:color="auto" w:sz="4" w:space="0"/>
              <w:left w:val="single" w:color="auto" w:sz="4" w:space="0"/>
              <w:right w:val="single" w:color="auto" w:sz="4" w:space="0"/>
            </w:tcBorders>
            <w:shd w:val="clear" w:color="auto" w:fill="FFFFFF"/>
            <w:vAlign w:val="center"/>
          </w:tcPr>
          <w:p>
            <w:pPr>
              <w:spacing w:line="560" w:lineRule="exact"/>
              <w:ind w:firstLine="480" w:firstLineChars="200"/>
              <w:jc w:val="left"/>
              <w:rPr>
                <w:rFonts w:asciiTheme="minorEastAsia" w:hAnsiTheme="minorEastAsia" w:eastAsiaTheme="minorEastAsia" w:cstheme="minorEastAsia"/>
                <w:kern w:val="0"/>
                <w:sz w:val="24"/>
                <w:highlight w:val="yellow"/>
              </w:rPr>
            </w:pPr>
          </w:p>
        </w:tc>
      </w:tr>
      <w:tr>
        <w:tblPrEx>
          <w:tblCellMar>
            <w:top w:w="0" w:type="dxa"/>
            <w:left w:w="10" w:type="dxa"/>
            <w:bottom w:w="0" w:type="dxa"/>
            <w:right w:w="10" w:type="dxa"/>
          </w:tblCellMar>
        </w:tblPrEx>
        <w:trPr>
          <w:trHeight w:val="719" w:hRule="exact"/>
        </w:trPr>
        <w:tc>
          <w:tcPr>
            <w:tcW w:w="745"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2</w:t>
            </w:r>
          </w:p>
        </w:tc>
        <w:tc>
          <w:tcPr>
            <w:tcW w:w="3012"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预制楼梯</w:t>
            </w:r>
          </w:p>
        </w:tc>
        <w:tc>
          <w:tcPr>
            <w:tcW w:w="1619"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依设计图</w:t>
            </w:r>
          </w:p>
        </w:tc>
        <w:tc>
          <w:tcPr>
            <w:tcW w:w="1020"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M³</w:t>
            </w:r>
          </w:p>
        </w:tc>
        <w:tc>
          <w:tcPr>
            <w:tcW w:w="1866" w:type="dxa"/>
            <w:tcBorders>
              <w:top w:val="single" w:color="auto" w:sz="4" w:space="0"/>
              <w:left w:val="single" w:color="auto" w:sz="4" w:space="0"/>
              <w:right w:val="single" w:color="auto" w:sz="4" w:space="0"/>
            </w:tcBorders>
            <w:shd w:val="clear" w:color="auto" w:fill="FFFFFF"/>
            <w:vAlign w:val="center"/>
          </w:tcPr>
          <w:p>
            <w:pPr>
              <w:spacing w:line="560" w:lineRule="exact"/>
              <w:ind w:firstLine="480" w:firstLineChars="200"/>
              <w:jc w:val="left"/>
              <w:rPr>
                <w:rFonts w:asciiTheme="minorEastAsia" w:hAnsiTheme="minorEastAsia" w:eastAsiaTheme="minorEastAsia" w:cstheme="minorEastAsia"/>
                <w:kern w:val="0"/>
                <w:sz w:val="24"/>
                <w:highlight w:val="yellow"/>
              </w:rPr>
            </w:pPr>
          </w:p>
        </w:tc>
      </w:tr>
      <w:tr>
        <w:tblPrEx>
          <w:tblCellMar>
            <w:top w:w="0" w:type="dxa"/>
            <w:left w:w="10" w:type="dxa"/>
            <w:bottom w:w="0" w:type="dxa"/>
            <w:right w:w="10" w:type="dxa"/>
          </w:tblCellMar>
        </w:tblPrEx>
        <w:trPr>
          <w:trHeight w:val="715" w:hRule="exact"/>
        </w:trPr>
        <w:tc>
          <w:tcPr>
            <w:tcW w:w="745"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3</w:t>
            </w:r>
          </w:p>
        </w:tc>
        <w:tc>
          <w:tcPr>
            <w:tcW w:w="3012"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预制梁</w:t>
            </w:r>
          </w:p>
        </w:tc>
        <w:tc>
          <w:tcPr>
            <w:tcW w:w="1619"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依设计图纸</w:t>
            </w:r>
          </w:p>
        </w:tc>
        <w:tc>
          <w:tcPr>
            <w:tcW w:w="1020"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M³</w:t>
            </w:r>
          </w:p>
        </w:tc>
        <w:tc>
          <w:tcPr>
            <w:tcW w:w="1866" w:type="dxa"/>
            <w:tcBorders>
              <w:top w:val="single" w:color="auto" w:sz="4" w:space="0"/>
              <w:left w:val="single" w:color="auto" w:sz="4" w:space="0"/>
              <w:right w:val="single" w:color="auto" w:sz="4" w:space="0"/>
            </w:tcBorders>
            <w:shd w:val="clear" w:color="auto" w:fill="FFFFFF"/>
            <w:vAlign w:val="center"/>
          </w:tcPr>
          <w:p>
            <w:pPr>
              <w:spacing w:line="560" w:lineRule="exact"/>
              <w:ind w:firstLine="480" w:firstLineChars="200"/>
              <w:jc w:val="left"/>
              <w:rPr>
                <w:rFonts w:asciiTheme="minorEastAsia" w:hAnsiTheme="minorEastAsia" w:eastAsiaTheme="minorEastAsia" w:cstheme="minorEastAsia"/>
                <w:kern w:val="0"/>
                <w:sz w:val="24"/>
                <w:highlight w:val="yellow"/>
              </w:rPr>
            </w:pPr>
          </w:p>
        </w:tc>
      </w:tr>
      <w:tr>
        <w:tblPrEx>
          <w:tblCellMar>
            <w:top w:w="0" w:type="dxa"/>
            <w:left w:w="10" w:type="dxa"/>
            <w:bottom w:w="0" w:type="dxa"/>
            <w:right w:w="10" w:type="dxa"/>
          </w:tblCellMar>
        </w:tblPrEx>
        <w:trPr>
          <w:trHeight w:val="599" w:hRule="exact"/>
        </w:trPr>
        <w:tc>
          <w:tcPr>
            <w:tcW w:w="745"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4</w:t>
            </w:r>
          </w:p>
        </w:tc>
        <w:tc>
          <w:tcPr>
            <w:tcW w:w="3012"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预制保温夹心外墙</w:t>
            </w:r>
          </w:p>
        </w:tc>
        <w:tc>
          <w:tcPr>
            <w:tcW w:w="1619"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依设计图纸</w:t>
            </w:r>
          </w:p>
        </w:tc>
        <w:tc>
          <w:tcPr>
            <w:tcW w:w="1020"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M³</w:t>
            </w:r>
          </w:p>
        </w:tc>
        <w:tc>
          <w:tcPr>
            <w:tcW w:w="1866" w:type="dxa"/>
            <w:tcBorders>
              <w:top w:val="single" w:color="auto" w:sz="4" w:space="0"/>
              <w:left w:val="single" w:color="auto" w:sz="4" w:space="0"/>
              <w:right w:val="single" w:color="auto" w:sz="4" w:space="0"/>
            </w:tcBorders>
            <w:shd w:val="clear" w:color="auto" w:fill="FFFFFF"/>
            <w:vAlign w:val="center"/>
          </w:tcPr>
          <w:p>
            <w:pPr>
              <w:spacing w:line="560" w:lineRule="exact"/>
              <w:ind w:firstLine="480" w:firstLineChars="200"/>
              <w:jc w:val="left"/>
              <w:rPr>
                <w:rFonts w:asciiTheme="minorEastAsia" w:hAnsiTheme="minorEastAsia" w:eastAsiaTheme="minorEastAsia" w:cstheme="minorEastAsia"/>
                <w:kern w:val="0"/>
                <w:sz w:val="24"/>
                <w:highlight w:val="yellow"/>
              </w:rPr>
            </w:pPr>
          </w:p>
        </w:tc>
      </w:tr>
      <w:tr>
        <w:tblPrEx>
          <w:tblCellMar>
            <w:top w:w="0" w:type="dxa"/>
            <w:left w:w="10" w:type="dxa"/>
            <w:bottom w:w="0" w:type="dxa"/>
            <w:right w:w="10" w:type="dxa"/>
          </w:tblCellMar>
        </w:tblPrEx>
        <w:trPr>
          <w:trHeight w:val="737" w:hRule="exact"/>
        </w:trPr>
        <w:tc>
          <w:tcPr>
            <w:tcW w:w="745"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5</w:t>
            </w:r>
          </w:p>
        </w:tc>
        <w:tc>
          <w:tcPr>
            <w:tcW w:w="3012"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预制外墙板</w:t>
            </w:r>
          </w:p>
        </w:tc>
        <w:tc>
          <w:tcPr>
            <w:tcW w:w="1619"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依设计图纸</w:t>
            </w:r>
          </w:p>
        </w:tc>
        <w:tc>
          <w:tcPr>
            <w:tcW w:w="1020"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M³</w:t>
            </w:r>
          </w:p>
        </w:tc>
        <w:tc>
          <w:tcPr>
            <w:tcW w:w="1866" w:type="dxa"/>
            <w:tcBorders>
              <w:top w:val="single" w:color="auto" w:sz="4" w:space="0"/>
              <w:left w:val="single" w:color="auto" w:sz="4" w:space="0"/>
              <w:right w:val="single" w:color="auto" w:sz="4" w:space="0"/>
            </w:tcBorders>
            <w:shd w:val="clear" w:color="auto" w:fill="FFFFFF"/>
            <w:vAlign w:val="center"/>
          </w:tcPr>
          <w:p>
            <w:pPr>
              <w:spacing w:line="560" w:lineRule="exact"/>
              <w:ind w:firstLine="480" w:firstLineChars="200"/>
              <w:jc w:val="left"/>
              <w:rPr>
                <w:rFonts w:asciiTheme="minorEastAsia" w:hAnsiTheme="minorEastAsia" w:eastAsiaTheme="minorEastAsia" w:cstheme="minorEastAsia"/>
                <w:kern w:val="0"/>
                <w:sz w:val="24"/>
                <w:highlight w:val="yellow"/>
              </w:rPr>
            </w:pPr>
          </w:p>
        </w:tc>
      </w:tr>
      <w:tr>
        <w:tblPrEx>
          <w:tblCellMar>
            <w:top w:w="0" w:type="dxa"/>
            <w:left w:w="10" w:type="dxa"/>
            <w:bottom w:w="0" w:type="dxa"/>
            <w:right w:w="10" w:type="dxa"/>
          </w:tblCellMar>
        </w:tblPrEx>
        <w:trPr>
          <w:trHeight w:val="737" w:hRule="exact"/>
        </w:trPr>
        <w:tc>
          <w:tcPr>
            <w:tcW w:w="745"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6</w:t>
            </w:r>
          </w:p>
        </w:tc>
        <w:tc>
          <w:tcPr>
            <w:tcW w:w="3012"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预制内墙板</w:t>
            </w:r>
          </w:p>
        </w:tc>
        <w:tc>
          <w:tcPr>
            <w:tcW w:w="1619"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依设计图纸</w:t>
            </w:r>
          </w:p>
        </w:tc>
        <w:tc>
          <w:tcPr>
            <w:tcW w:w="1020"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M³</w:t>
            </w:r>
          </w:p>
        </w:tc>
        <w:tc>
          <w:tcPr>
            <w:tcW w:w="1866" w:type="dxa"/>
            <w:tcBorders>
              <w:top w:val="single" w:color="auto" w:sz="4" w:space="0"/>
              <w:left w:val="single" w:color="auto" w:sz="4" w:space="0"/>
              <w:right w:val="single" w:color="auto" w:sz="4" w:space="0"/>
            </w:tcBorders>
            <w:shd w:val="clear" w:color="auto" w:fill="FFFFFF"/>
            <w:vAlign w:val="center"/>
          </w:tcPr>
          <w:p>
            <w:pPr>
              <w:spacing w:line="560" w:lineRule="exact"/>
              <w:ind w:firstLine="480" w:firstLineChars="200"/>
              <w:jc w:val="left"/>
              <w:rPr>
                <w:rFonts w:asciiTheme="minorEastAsia" w:hAnsiTheme="minorEastAsia" w:eastAsiaTheme="minorEastAsia" w:cstheme="minorEastAsia"/>
                <w:kern w:val="0"/>
                <w:sz w:val="24"/>
                <w:highlight w:val="yellow"/>
              </w:rPr>
            </w:pPr>
          </w:p>
        </w:tc>
      </w:tr>
      <w:tr>
        <w:tblPrEx>
          <w:tblCellMar>
            <w:top w:w="0" w:type="dxa"/>
            <w:left w:w="10" w:type="dxa"/>
            <w:bottom w:w="0" w:type="dxa"/>
            <w:right w:w="10" w:type="dxa"/>
          </w:tblCellMar>
        </w:tblPrEx>
        <w:trPr>
          <w:trHeight w:val="737" w:hRule="exact"/>
        </w:trPr>
        <w:tc>
          <w:tcPr>
            <w:tcW w:w="745"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highlight w:val="yellow"/>
              </w:rPr>
            </w:pPr>
            <w:r>
              <w:rPr>
                <w:rFonts w:hint="eastAsia" w:ascii="宋体" w:hAnsi="宋体" w:cs="宋体"/>
                <w:color w:val="000000"/>
                <w:kern w:val="0"/>
                <w:sz w:val="24"/>
                <w:lang w:bidi="ar"/>
              </w:rPr>
              <w:t>7</w:t>
            </w:r>
          </w:p>
        </w:tc>
        <w:tc>
          <w:tcPr>
            <w:tcW w:w="3012"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highlight w:val="yellow"/>
              </w:rPr>
            </w:pPr>
            <w:r>
              <w:rPr>
                <w:rFonts w:hint="eastAsia" w:ascii="宋体" w:hAnsi="宋体" w:cs="宋体"/>
                <w:color w:val="000000"/>
                <w:kern w:val="0"/>
                <w:sz w:val="24"/>
                <w:lang w:bidi="ar"/>
              </w:rPr>
              <w:t>预制空调板、阳台、飘窗</w:t>
            </w:r>
          </w:p>
        </w:tc>
        <w:tc>
          <w:tcPr>
            <w:tcW w:w="1619"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依设计图纸</w:t>
            </w:r>
          </w:p>
        </w:tc>
        <w:tc>
          <w:tcPr>
            <w:tcW w:w="1020"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M³</w:t>
            </w:r>
          </w:p>
        </w:tc>
        <w:tc>
          <w:tcPr>
            <w:tcW w:w="1866"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560" w:lineRule="exact"/>
              <w:ind w:firstLine="480" w:firstLineChars="200"/>
              <w:jc w:val="left"/>
              <w:rPr>
                <w:rFonts w:asciiTheme="minorEastAsia" w:hAnsiTheme="minorEastAsia" w:eastAsiaTheme="minorEastAsia" w:cstheme="minorEastAsia"/>
                <w:kern w:val="0"/>
                <w:sz w:val="24"/>
                <w:highlight w:val="yellow"/>
              </w:rPr>
            </w:pPr>
          </w:p>
        </w:tc>
      </w:tr>
      <w:tr>
        <w:tblPrEx>
          <w:tblCellMar>
            <w:top w:w="0" w:type="dxa"/>
            <w:left w:w="10" w:type="dxa"/>
            <w:bottom w:w="0" w:type="dxa"/>
            <w:right w:w="10" w:type="dxa"/>
          </w:tblCellMar>
        </w:tblPrEx>
        <w:trPr>
          <w:trHeight w:val="737" w:hRule="exact"/>
        </w:trPr>
        <w:tc>
          <w:tcPr>
            <w:tcW w:w="745"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8</w:t>
            </w:r>
          </w:p>
        </w:tc>
        <w:tc>
          <w:tcPr>
            <w:tcW w:w="3012"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预制PCF板</w:t>
            </w:r>
          </w:p>
        </w:tc>
        <w:tc>
          <w:tcPr>
            <w:tcW w:w="1619"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依设计图纸</w:t>
            </w:r>
          </w:p>
        </w:tc>
        <w:tc>
          <w:tcPr>
            <w:tcW w:w="1020"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M³</w:t>
            </w:r>
          </w:p>
        </w:tc>
        <w:tc>
          <w:tcPr>
            <w:tcW w:w="1866"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560" w:lineRule="exact"/>
              <w:ind w:firstLine="480" w:firstLineChars="200"/>
              <w:jc w:val="left"/>
              <w:rPr>
                <w:rFonts w:asciiTheme="minorEastAsia" w:hAnsiTheme="minorEastAsia" w:eastAsiaTheme="minorEastAsia" w:cstheme="minorEastAsia"/>
                <w:kern w:val="0"/>
                <w:sz w:val="24"/>
                <w:highlight w:val="yellow"/>
              </w:rPr>
            </w:pPr>
          </w:p>
        </w:tc>
      </w:tr>
    </w:tbl>
    <w:p>
      <w:pPr>
        <w:ind w:firstLine="480" w:firstLineChars="2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lang w:val="zh-CN"/>
        </w:rPr>
        <w:t>5.2构件体积计算：按照甲方下发构件拆分图计算；</w:t>
      </w:r>
      <w:r>
        <w:rPr>
          <w:rFonts w:hint="eastAsia" w:asciiTheme="minorEastAsia" w:hAnsiTheme="minorEastAsia" w:eastAsiaTheme="minorEastAsia" w:cstheme="minorEastAsia"/>
          <w:kern w:val="0"/>
          <w:sz w:val="24"/>
        </w:rPr>
        <w:t xml:space="preserve"> </w:t>
      </w:r>
    </w:p>
    <w:p>
      <w:pPr>
        <w:spacing w:line="560" w:lineRule="exact"/>
        <w:ind w:firstLine="480" w:firstLineChars="2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5.3构件固定</w:t>
      </w:r>
      <w:r>
        <w:rPr>
          <w:rFonts w:hint="eastAsia" w:asciiTheme="minorEastAsia" w:hAnsiTheme="minorEastAsia" w:eastAsiaTheme="minorEastAsia" w:cstheme="minorEastAsia"/>
          <w:kern w:val="0"/>
          <w:sz w:val="24"/>
          <w:lang w:val="zh-CN"/>
        </w:rPr>
        <w:t>综合单价：</w:t>
      </w:r>
    </w:p>
    <w:p>
      <w:pPr>
        <w:widowControl/>
        <w:ind w:firstLine="480" w:firstLineChars="200"/>
        <w:jc w:val="left"/>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备注：</w:t>
      </w:r>
    </w:p>
    <w:p>
      <w:pPr>
        <w:widowControl/>
        <w:ind w:firstLine="480" w:firstLineChars="200"/>
        <w:jc w:val="left"/>
        <w:rPr>
          <w:rFonts w:hint="eastAsia"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en-US" w:eastAsia="zh-CN"/>
        </w:rPr>
        <w:t>1.</w:t>
      </w:r>
      <w:r>
        <w:rPr>
          <w:rFonts w:hint="eastAsia" w:asciiTheme="minorEastAsia" w:hAnsiTheme="minorEastAsia" w:eastAsiaTheme="minorEastAsia" w:cstheme="minorEastAsia"/>
          <w:kern w:val="0"/>
          <w:sz w:val="24"/>
          <w:lang w:val="zh-CN"/>
        </w:rPr>
        <w:t>以上固定综合单价为包干单价，固定综合单价包括：价格中均包含了乙方施工过程中所有可能涉及到费用的总和，包括但不限于人工费、辅材费、工机具费用、管理费、利润、税金（按</w:t>
      </w:r>
      <w:r>
        <w:rPr>
          <w:rFonts w:hint="eastAsia" w:asciiTheme="minorEastAsia" w:hAnsiTheme="minorEastAsia" w:eastAsiaTheme="minorEastAsia" w:cstheme="minorEastAsia"/>
          <w:kern w:val="0"/>
          <w:sz w:val="24"/>
          <w:lang w:val="en-US" w:eastAsia="zh-CN"/>
        </w:rPr>
        <w:t>3</w:t>
      </w:r>
      <w:r>
        <w:rPr>
          <w:rFonts w:hint="eastAsia" w:asciiTheme="minorEastAsia" w:hAnsiTheme="minorEastAsia" w:eastAsiaTheme="minorEastAsia" w:cstheme="minorEastAsia"/>
          <w:kern w:val="0"/>
          <w:sz w:val="24"/>
          <w:lang w:val="zh-CN"/>
        </w:rPr>
        <w:t>%增值税专用发票开具）、政策性文件调整、风险等全部费用。无论甲方提供的图纸有多大难易程度及其他条件不作改变，乙方承诺除按以上固定综合单价结算费用外，今后不再追加任何费用。甲乙双方结算依据为：图纸、设计变更、设计回复、签证单，其他任何形式的现场工程记录资料不作为结算依据。</w:t>
      </w:r>
    </w:p>
    <w:p>
      <w:pPr>
        <w:pStyle w:val="7"/>
        <w:widowControl w:val="0"/>
        <w:numPr>
          <w:ilvl w:val="0"/>
          <w:numId w:val="0"/>
        </w:numPr>
        <w:tabs>
          <w:tab w:val="left" w:pos="312"/>
        </w:tabs>
        <w:ind w:firstLine="480" w:firstLineChars="200"/>
        <w:jc w:val="both"/>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2.若乙方在合同期间能够满足甲方关于生产进度、产品质量等方面要求，构件质量达到优良等级，且服从甲方工作安排，则本合同到期后，经甲方评定认可并履行相关手续，可予以延长合同期限，并将该合同条款顺延至其他项目。</w:t>
      </w:r>
    </w:p>
    <w:p>
      <w:pPr>
        <w:pStyle w:val="7"/>
        <w:numPr>
          <w:ilvl w:val="0"/>
          <w:numId w:val="0"/>
        </w:numPr>
        <w:ind w:firstLine="480" w:firstLineChars="200"/>
        <w:rPr>
          <w:rFonts w:hint="eastAsia" w:asciiTheme="minorEastAsia" w:hAnsiTheme="minorEastAsia" w:eastAsiaTheme="minorEastAsia" w:cstheme="minorEastAsia"/>
          <w:color w:val="auto"/>
          <w:kern w:val="0"/>
          <w:sz w:val="24"/>
          <w:szCs w:val="24"/>
          <w:highlight w:val="none"/>
          <w:lang w:val="zh-CN"/>
        </w:rPr>
      </w:pPr>
      <w:r>
        <w:rPr>
          <w:rFonts w:hint="eastAsia" w:asciiTheme="minorEastAsia" w:hAnsiTheme="minorEastAsia" w:eastAsiaTheme="minorEastAsia" w:cstheme="minorEastAsia"/>
          <w:color w:val="auto"/>
          <w:kern w:val="0"/>
          <w:sz w:val="24"/>
          <w:szCs w:val="24"/>
          <w:highlight w:val="none"/>
          <w:lang w:val="en-US" w:eastAsia="zh-CN"/>
        </w:rPr>
        <w:t>3.水渠盖板、路牙石、化粪池、隔油池、农改厕、预制排水沟、生态护坡块等构件制作单价双方另行协商。</w:t>
      </w:r>
    </w:p>
    <w:p>
      <w:pPr>
        <w:widowControl/>
        <w:ind w:firstLine="480" w:firstLineChars="200"/>
        <w:jc w:val="left"/>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其他说明：工程量按施工图净量计算；工程结算</w:t>
      </w:r>
      <w:r>
        <w:rPr>
          <w:rFonts w:hint="eastAsia" w:asciiTheme="minorEastAsia" w:hAnsiTheme="minorEastAsia" w:eastAsiaTheme="minorEastAsia" w:cstheme="minorEastAsia"/>
          <w:kern w:val="0"/>
          <w:sz w:val="24"/>
        </w:rPr>
        <w:t>/额</w:t>
      </w:r>
      <w:r>
        <w:rPr>
          <w:rFonts w:hint="eastAsia" w:asciiTheme="minorEastAsia" w:hAnsiTheme="minorEastAsia" w:eastAsiaTheme="minorEastAsia" w:cstheme="minorEastAsia"/>
          <w:kern w:val="0"/>
          <w:sz w:val="24"/>
          <w:lang w:val="zh-CN"/>
        </w:rPr>
        <w:t>=施工图净量*固定综合单价-各项扣款 。</w:t>
      </w:r>
    </w:p>
    <w:p>
      <w:pPr>
        <w:widowControl/>
        <w:ind w:firstLine="480" w:firstLineChars="200"/>
        <w:jc w:val="left"/>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5.4由于甲方设计变更或其他原因、导致乙方对已完工构件进行返工重做由甲方补偿乙方返工实际损失工时费用，人工按</w:t>
      </w:r>
      <w:r>
        <w:rPr>
          <w:rFonts w:hint="eastAsia" w:asciiTheme="minorEastAsia" w:hAnsiTheme="minorEastAsia" w:eastAsiaTheme="minorEastAsia" w:cstheme="minorEastAsia"/>
          <w:kern w:val="0"/>
          <w:sz w:val="24"/>
        </w:rPr>
        <w:t>20</w:t>
      </w:r>
      <w:r>
        <w:rPr>
          <w:rFonts w:hint="eastAsia" w:asciiTheme="minorEastAsia" w:hAnsiTheme="minorEastAsia" w:eastAsiaTheme="minorEastAsia" w:cstheme="minorEastAsia"/>
          <w:kern w:val="0"/>
          <w:sz w:val="24"/>
          <w:lang w:val="zh-CN"/>
        </w:rPr>
        <w:t>元/小时/人计算；乙方按照甲方要求承接非承包生产线内工作的，能套取安徽省建筑安装工程计价定额的按定额计算费用，不能套取定额的按工时费用计算，按照</w:t>
      </w:r>
      <w:r>
        <w:rPr>
          <w:rFonts w:hint="eastAsia" w:asciiTheme="minorEastAsia" w:hAnsiTheme="minorEastAsia" w:eastAsiaTheme="minorEastAsia" w:cstheme="minorEastAsia"/>
          <w:kern w:val="0"/>
          <w:sz w:val="24"/>
        </w:rPr>
        <w:t>20</w:t>
      </w:r>
      <w:r>
        <w:rPr>
          <w:rFonts w:hint="eastAsia" w:asciiTheme="minorEastAsia" w:hAnsiTheme="minorEastAsia" w:eastAsiaTheme="minorEastAsia" w:cstheme="minorEastAsia"/>
          <w:kern w:val="0"/>
          <w:sz w:val="24"/>
          <w:lang w:val="zh-CN"/>
        </w:rPr>
        <w:t>元/小时/人计算，（</w:t>
      </w:r>
      <w:r>
        <w:rPr>
          <w:rFonts w:hint="eastAsia" w:asciiTheme="minorEastAsia" w:hAnsiTheme="minorEastAsia" w:eastAsiaTheme="minorEastAsia" w:cstheme="minorEastAsia"/>
          <w:kern w:val="0"/>
          <w:sz w:val="24"/>
        </w:rPr>
        <w:t>不足1小时不计，超过1小时不足2小时按1小时结算，超过2小时不足3小时按2小时结算，以此类推</w:t>
      </w:r>
      <w:r>
        <w:rPr>
          <w:rFonts w:hint="eastAsia" w:asciiTheme="minorEastAsia" w:hAnsiTheme="minorEastAsia" w:eastAsiaTheme="minorEastAsia" w:cstheme="minorEastAsia"/>
          <w:kern w:val="0"/>
          <w:sz w:val="24"/>
          <w:lang w:val="zh-CN"/>
        </w:rPr>
        <w:t>）。大批量的变更，也可通过双方协商，根据协商结果执行，所有变更费用须生产厂长签认后交分管领导签批。</w:t>
      </w:r>
    </w:p>
    <w:p>
      <w:pPr>
        <w:widowControl/>
        <w:ind w:firstLine="480" w:firstLineChars="200"/>
        <w:jc w:val="left"/>
        <w:rPr>
          <w:rFonts w:asciiTheme="minorEastAsia" w:hAnsiTheme="minorEastAsia" w:eastAsiaTheme="minorEastAsia" w:cstheme="minorEastAsia"/>
          <w:kern w:val="0"/>
          <w:sz w:val="24"/>
          <w:highlight w:val="none"/>
          <w:lang w:val="zh-CN"/>
        </w:rPr>
      </w:pPr>
      <w:r>
        <w:rPr>
          <w:rFonts w:hint="eastAsia" w:asciiTheme="minorEastAsia" w:hAnsiTheme="minorEastAsia" w:eastAsiaTheme="minorEastAsia" w:cstheme="minorEastAsia"/>
          <w:kern w:val="0"/>
          <w:sz w:val="24"/>
          <w:lang w:val="zh-CN"/>
        </w:rPr>
        <w:t>六、结算付款</w:t>
      </w:r>
    </w:p>
    <w:p>
      <w:pPr>
        <w:adjustRightInd w:val="0"/>
        <w:snapToGrid w:val="0"/>
        <w:ind w:firstLine="424" w:firstLineChars="177"/>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highlight w:val="none"/>
          <w:lang w:val="zh-CN"/>
        </w:rPr>
        <w:t>6.1合同签订前乙方缴纳履约保证金人民币</w:t>
      </w:r>
      <w:r>
        <w:rPr>
          <w:rFonts w:hint="eastAsia" w:asciiTheme="minorEastAsia" w:hAnsiTheme="minorEastAsia" w:eastAsiaTheme="minorEastAsia" w:cstheme="minorEastAsia"/>
          <w:kern w:val="0"/>
          <w:sz w:val="24"/>
          <w:highlight w:val="none"/>
          <w:u w:val="single"/>
          <w:lang w:eastAsia="zh-CN"/>
        </w:rPr>
        <w:t>壹</w:t>
      </w:r>
      <w:r>
        <w:rPr>
          <w:rFonts w:hint="eastAsia" w:asciiTheme="minorEastAsia" w:hAnsiTheme="minorEastAsia" w:eastAsiaTheme="minorEastAsia" w:cstheme="minorEastAsia"/>
          <w:kern w:val="0"/>
          <w:sz w:val="24"/>
          <w:highlight w:val="none"/>
          <w:u w:val="single"/>
        </w:rPr>
        <w:t>拾</w:t>
      </w:r>
      <w:r>
        <w:rPr>
          <w:rFonts w:hint="eastAsia" w:asciiTheme="minorEastAsia" w:hAnsiTheme="minorEastAsia" w:eastAsiaTheme="minorEastAsia" w:cstheme="minorEastAsia"/>
          <w:kern w:val="0"/>
          <w:sz w:val="24"/>
          <w:highlight w:val="none"/>
          <w:u w:val="single"/>
          <w:lang w:val="zh-CN"/>
        </w:rPr>
        <w:t>万元</w:t>
      </w:r>
      <w:r>
        <w:rPr>
          <w:rFonts w:hint="eastAsia" w:asciiTheme="minorEastAsia" w:hAnsiTheme="minorEastAsia" w:eastAsiaTheme="minorEastAsia" w:cstheme="minorEastAsia"/>
          <w:kern w:val="0"/>
          <w:sz w:val="24"/>
          <w:highlight w:val="none"/>
          <w:lang w:val="zh-CN"/>
        </w:rPr>
        <w:t>整，以保证合同的顺利执行，如乙方不能履行合同，甲方有权扣除</w:t>
      </w:r>
      <w:r>
        <w:rPr>
          <w:rFonts w:hint="eastAsia" w:asciiTheme="minorEastAsia" w:hAnsiTheme="minorEastAsia" w:eastAsiaTheme="minorEastAsia" w:cstheme="minorEastAsia"/>
          <w:kern w:val="0"/>
          <w:sz w:val="24"/>
          <w:lang w:val="zh-CN"/>
        </w:rPr>
        <w:t>全部履约保证金。</w:t>
      </w:r>
      <w:r>
        <w:rPr>
          <w:rFonts w:hint="eastAsia" w:asciiTheme="minorEastAsia" w:hAnsiTheme="minorEastAsia" w:eastAsiaTheme="minorEastAsia" w:cstheme="minorEastAsia"/>
          <w:b w:val="0"/>
          <w:bCs w:val="0"/>
          <w:color w:val="auto"/>
          <w:kern w:val="0"/>
          <w:sz w:val="24"/>
          <w:szCs w:val="24"/>
          <w:highlight w:val="none"/>
          <w:lang w:val="zh-CN"/>
        </w:rPr>
        <w:t>待乙方</w:t>
      </w:r>
      <w:r>
        <w:rPr>
          <w:rFonts w:hint="eastAsia" w:asciiTheme="minorEastAsia" w:hAnsiTheme="minorEastAsia" w:eastAsiaTheme="minorEastAsia" w:cstheme="minorEastAsia"/>
          <w:b w:val="0"/>
          <w:bCs w:val="0"/>
          <w:color w:val="auto"/>
          <w:kern w:val="0"/>
          <w:sz w:val="24"/>
          <w:szCs w:val="24"/>
          <w:highlight w:val="none"/>
          <w:lang w:val="en-US" w:eastAsia="zh-CN"/>
        </w:rPr>
        <w:t>按</w:t>
      </w:r>
      <w:r>
        <w:rPr>
          <w:rFonts w:hint="eastAsia" w:asciiTheme="minorEastAsia" w:hAnsiTheme="minorEastAsia" w:eastAsiaTheme="minorEastAsia" w:cstheme="minorEastAsia"/>
          <w:b w:val="0"/>
          <w:bCs w:val="0"/>
          <w:color w:val="auto"/>
          <w:kern w:val="0"/>
          <w:sz w:val="24"/>
          <w:szCs w:val="24"/>
          <w:highlight w:val="none"/>
          <w:lang w:val="zh-CN"/>
        </w:rPr>
        <w:t>约定</w:t>
      </w:r>
      <w:r>
        <w:rPr>
          <w:rFonts w:hint="eastAsia" w:asciiTheme="minorEastAsia" w:hAnsiTheme="minorEastAsia" w:eastAsiaTheme="minorEastAsia" w:cstheme="minorEastAsia"/>
          <w:b w:val="0"/>
          <w:bCs w:val="0"/>
          <w:color w:val="auto"/>
          <w:kern w:val="0"/>
          <w:sz w:val="24"/>
          <w:szCs w:val="24"/>
          <w:highlight w:val="none"/>
          <w:lang w:val="en-US" w:eastAsia="zh-CN"/>
        </w:rPr>
        <w:t>时间到厂生产后</w:t>
      </w:r>
      <w:r>
        <w:rPr>
          <w:rFonts w:hint="eastAsia" w:asciiTheme="minorEastAsia" w:hAnsiTheme="minorEastAsia" w:eastAsiaTheme="minorEastAsia" w:cstheme="minorEastAsia"/>
          <w:b w:val="0"/>
          <w:bCs w:val="0"/>
          <w:color w:val="auto"/>
          <w:kern w:val="0"/>
          <w:sz w:val="24"/>
          <w:szCs w:val="24"/>
          <w:highlight w:val="none"/>
          <w:lang w:val="zh-CN"/>
        </w:rPr>
        <w:t>，乙方提出书面申请，甲方</w:t>
      </w:r>
      <w:r>
        <w:rPr>
          <w:rFonts w:hint="eastAsia" w:asciiTheme="minorEastAsia" w:hAnsiTheme="minorEastAsia" w:eastAsiaTheme="minorEastAsia" w:cstheme="minorEastAsia"/>
          <w:b w:val="0"/>
          <w:bCs w:val="0"/>
          <w:color w:val="auto"/>
          <w:kern w:val="0"/>
          <w:sz w:val="24"/>
          <w:szCs w:val="24"/>
          <w:highlight w:val="none"/>
          <w:lang w:val="en-US" w:eastAsia="zh-CN"/>
        </w:rPr>
        <w:t>5日内</w:t>
      </w:r>
      <w:r>
        <w:rPr>
          <w:rFonts w:hint="eastAsia" w:asciiTheme="minorEastAsia" w:hAnsiTheme="minorEastAsia" w:eastAsiaTheme="minorEastAsia" w:cstheme="minorEastAsia"/>
          <w:b w:val="0"/>
          <w:bCs w:val="0"/>
          <w:color w:val="auto"/>
          <w:kern w:val="0"/>
          <w:sz w:val="24"/>
          <w:szCs w:val="24"/>
          <w:highlight w:val="none"/>
          <w:lang w:val="zh-CN"/>
        </w:rPr>
        <w:t>无息返还</w:t>
      </w:r>
      <w:r>
        <w:rPr>
          <w:rFonts w:hint="eastAsia" w:asciiTheme="minorEastAsia" w:hAnsiTheme="minorEastAsia" w:eastAsiaTheme="minorEastAsia" w:cstheme="minorEastAsia"/>
          <w:b w:val="0"/>
          <w:bCs w:val="0"/>
          <w:color w:val="auto"/>
          <w:kern w:val="0"/>
          <w:sz w:val="24"/>
          <w:szCs w:val="24"/>
          <w:highlight w:val="none"/>
          <w:lang w:val="zh-CN" w:eastAsia="zh-CN"/>
        </w:rPr>
        <w:t>伍</w:t>
      </w:r>
      <w:r>
        <w:rPr>
          <w:rFonts w:hint="eastAsia" w:asciiTheme="minorEastAsia" w:hAnsiTheme="minorEastAsia" w:eastAsiaTheme="minorEastAsia" w:cstheme="minorEastAsia"/>
          <w:b w:val="0"/>
          <w:bCs w:val="0"/>
          <w:color w:val="auto"/>
          <w:kern w:val="0"/>
          <w:sz w:val="24"/>
          <w:szCs w:val="24"/>
          <w:highlight w:val="none"/>
          <w:lang w:val="en-US" w:eastAsia="zh-CN"/>
        </w:rPr>
        <w:t>万元，剩余金额第一次结算时支付</w:t>
      </w:r>
      <w:r>
        <w:rPr>
          <w:rFonts w:hint="eastAsia" w:asciiTheme="minorEastAsia" w:hAnsiTheme="minorEastAsia" w:eastAsiaTheme="minorEastAsia" w:cstheme="minorEastAsia"/>
          <w:b w:val="0"/>
          <w:bCs w:val="0"/>
          <w:color w:val="auto"/>
          <w:kern w:val="0"/>
          <w:sz w:val="24"/>
          <w:szCs w:val="24"/>
          <w:highlight w:val="none"/>
          <w:lang w:val="zh-CN"/>
        </w:rPr>
        <w:t>。</w:t>
      </w:r>
    </w:p>
    <w:p>
      <w:pPr>
        <w:widowControl/>
        <w:ind w:firstLine="480" w:firstLineChars="200"/>
        <w:jc w:val="left"/>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6.2按月结算：每月</w:t>
      </w:r>
      <w:r>
        <w:rPr>
          <w:rFonts w:hint="eastAsia" w:asciiTheme="minorEastAsia" w:hAnsiTheme="minorEastAsia" w:eastAsiaTheme="minorEastAsia" w:cstheme="minorEastAsia"/>
          <w:kern w:val="0"/>
          <w:sz w:val="24"/>
        </w:rPr>
        <w:t>10</w:t>
      </w:r>
      <w:r>
        <w:rPr>
          <w:rFonts w:hint="eastAsia" w:asciiTheme="minorEastAsia" w:hAnsiTheme="minorEastAsia" w:eastAsiaTheme="minorEastAsia" w:cstheme="minorEastAsia"/>
          <w:kern w:val="0"/>
          <w:sz w:val="24"/>
          <w:lang w:val="zh-CN"/>
        </w:rPr>
        <w:t>号前乙方与甲方完成上月的结算工作；乙方应在当月</w:t>
      </w:r>
      <w:r>
        <w:rPr>
          <w:rFonts w:hint="eastAsia" w:asciiTheme="minorEastAsia" w:hAnsiTheme="minorEastAsia" w:eastAsiaTheme="minorEastAsia" w:cstheme="minorEastAsia"/>
          <w:kern w:val="0"/>
          <w:sz w:val="24"/>
        </w:rPr>
        <w:t>5</w:t>
      </w:r>
      <w:r>
        <w:rPr>
          <w:rFonts w:hint="eastAsia" w:asciiTheme="minorEastAsia" w:hAnsiTheme="minorEastAsia" w:eastAsiaTheme="minorEastAsia" w:cstheme="minorEastAsia"/>
          <w:kern w:val="0"/>
          <w:sz w:val="24"/>
          <w:lang w:val="zh-CN"/>
        </w:rPr>
        <w:t>号前向甲方提交上月结算资料，甲方（生产厂）于收到结算资料后2日内完成审核,乙方根据生产厂确认的对账单到经营管理部办理结算，并根据经营管理部提供的结算单据在当月1</w:t>
      </w:r>
      <w:r>
        <w:rPr>
          <w:rFonts w:hint="eastAsia" w:asciiTheme="minorEastAsia" w:hAnsiTheme="minorEastAsia" w:eastAsiaTheme="minorEastAsia" w:cstheme="minorEastAsia"/>
          <w:kern w:val="0"/>
          <w:sz w:val="24"/>
        </w:rPr>
        <w:t>0</w:t>
      </w:r>
      <w:r>
        <w:rPr>
          <w:rFonts w:hint="eastAsia" w:asciiTheme="minorEastAsia" w:hAnsiTheme="minorEastAsia" w:eastAsiaTheme="minorEastAsia" w:cstheme="minorEastAsia"/>
          <w:kern w:val="0"/>
          <w:sz w:val="24"/>
          <w:lang w:val="zh-CN"/>
        </w:rPr>
        <w:t>号内前开具劳务类增值税（</w:t>
      </w:r>
      <w:r>
        <w:rPr>
          <w:rFonts w:hint="eastAsia" w:asciiTheme="minorEastAsia" w:hAnsiTheme="minorEastAsia" w:eastAsiaTheme="minorEastAsia" w:cstheme="minorEastAsia"/>
          <w:kern w:val="0"/>
          <w:sz w:val="24"/>
          <w:u w:val="single"/>
        </w:rPr>
        <w:t xml:space="preserve"> </w:t>
      </w:r>
      <w:r>
        <w:rPr>
          <w:rFonts w:asciiTheme="minorEastAsia" w:hAnsiTheme="minorEastAsia" w:eastAsiaTheme="minorEastAsia" w:cstheme="minorEastAsia"/>
          <w:kern w:val="0"/>
          <w:sz w:val="24"/>
          <w:u w:val="single"/>
        </w:rPr>
        <w:t>3</w:t>
      </w:r>
      <w:r>
        <w:rPr>
          <w:rFonts w:hint="eastAsia" w:asciiTheme="minorEastAsia" w:hAnsiTheme="minorEastAsia" w:eastAsiaTheme="minorEastAsia" w:cstheme="minorEastAsia"/>
          <w:kern w:val="0"/>
          <w:sz w:val="24"/>
          <w:u w:val="single"/>
          <w:lang w:val="zh-CN"/>
        </w:rPr>
        <w:t xml:space="preserve"> </w:t>
      </w:r>
      <w:r>
        <w:rPr>
          <w:rFonts w:hint="eastAsia" w:asciiTheme="minorEastAsia" w:hAnsiTheme="minorEastAsia" w:eastAsiaTheme="minorEastAsia" w:cstheme="minorEastAsia"/>
          <w:kern w:val="0"/>
          <w:sz w:val="24"/>
          <w:lang w:val="zh-CN"/>
        </w:rPr>
        <w:t>%增值税专票）发票，</w:t>
      </w:r>
      <w:r>
        <w:rPr>
          <w:rFonts w:hint="eastAsia" w:asciiTheme="minorEastAsia" w:hAnsiTheme="minorEastAsia" w:eastAsiaTheme="minorEastAsia" w:cstheme="minorEastAsia"/>
          <w:kern w:val="0"/>
          <w:sz w:val="24"/>
          <w:highlight w:val="none"/>
          <w:lang w:val="zh-CN"/>
        </w:rPr>
        <w:t>甲方收到发票并入账后</w:t>
      </w:r>
      <w:r>
        <w:rPr>
          <w:rFonts w:hint="eastAsia" w:asciiTheme="minorEastAsia" w:hAnsiTheme="minorEastAsia" w:eastAsiaTheme="minorEastAsia" w:cstheme="minorEastAsia"/>
          <w:kern w:val="0"/>
          <w:sz w:val="24"/>
          <w:highlight w:val="none"/>
        </w:rPr>
        <w:t>1个月</w:t>
      </w:r>
      <w:r>
        <w:rPr>
          <w:rFonts w:hint="eastAsia" w:asciiTheme="minorEastAsia" w:hAnsiTheme="minorEastAsia" w:eastAsiaTheme="minorEastAsia" w:cstheme="minorEastAsia"/>
          <w:kern w:val="0"/>
          <w:sz w:val="24"/>
          <w:highlight w:val="none"/>
          <w:lang w:val="zh-CN"/>
        </w:rPr>
        <w:t>内支付当期劳务费的</w:t>
      </w:r>
      <w:r>
        <w:rPr>
          <w:rFonts w:hint="eastAsia" w:asciiTheme="minorEastAsia" w:hAnsiTheme="minorEastAsia" w:eastAsiaTheme="minorEastAsia" w:cstheme="minorEastAsia"/>
          <w:kern w:val="0"/>
          <w:sz w:val="24"/>
          <w:highlight w:val="none"/>
        </w:rPr>
        <w:t>95</w:t>
      </w:r>
      <w:r>
        <w:rPr>
          <w:rFonts w:hint="eastAsia" w:asciiTheme="minorEastAsia" w:hAnsiTheme="minorEastAsia" w:eastAsiaTheme="minorEastAsia" w:cstheme="minorEastAsia"/>
          <w:kern w:val="0"/>
          <w:sz w:val="24"/>
          <w:highlight w:val="none"/>
          <w:lang w:val="zh-CN"/>
        </w:rPr>
        <w:t>%，剩余</w:t>
      </w:r>
      <w:r>
        <w:rPr>
          <w:rFonts w:hint="eastAsia" w:asciiTheme="minorEastAsia" w:hAnsiTheme="minorEastAsia" w:eastAsiaTheme="minorEastAsia" w:cstheme="minorEastAsia"/>
          <w:kern w:val="0"/>
          <w:sz w:val="24"/>
          <w:highlight w:val="none"/>
        </w:rPr>
        <w:t>5%的劳务费待业主方结算付款后一次性付清</w:t>
      </w:r>
      <w:r>
        <w:rPr>
          <w:rFonts w:hint="eastAsia" w:asciiTheme="minorEastAsia" w:hAnsiTheme="minorEastAsia" w:eastAsiaTheme="minorEastAsia" w:cstheme="minorEastAsia"/>
          <w:kern w:val="0"/>
          <w:sz w:val="24"/>
          <w:highlight w:val="none"/>
          <w:lang w:val="zh-CN"/>
        </w:rPr>
        <w:t>。如因乙方原因逾期提供结算资料并开具发票的，甲方有权顺延付款时间且不承担违约责任。</w:t>
      </w:r>
    </w:p>
    <w:p>
      <w:pPr>
        <w:pStyle w:val="5"/>
        <w:ind w:firstLine="480" w:firstLineChars="200"/>
        <w:jc w:val="left"/>
        <w:rPr>
          <w:rFonts w:hint="eastAsia" w:asciiTheme="minorEastAsia" w:hAnsiTheme="minorEastAsia" w:eastAsiaTheme="minorEastAsia" w:cstheme="minorEastAsia"/>
          <w:b w:val="0"/>
          <w:bCs/>
          <w:kern w:val="0"/>
          <w:lang w:eastAsia="zh-CN"/>
        </w:rPr>
      </w:pPr>
      <w:r>
        <w:rPr>
          <w:rFonts w:hint="eastAsia" w:asciiTheme="minorEastAsia" w:hAnsiTheme="minorEastAsia" w:eastAsiaTheme="minorEastAsia" w:cstheme="minorEastAsia"/>
          <w:b w:val="0"/>
          <w:bCs/>
          <w:kern w:val="0"/>
          <w:sz w:val="24"/>
        </w:rPr>
        <w:t>6.3付款方式：⑴现金转账⑵承兑⑶</w:t>
      </w:r>
      <w:r>
        <w:rPr>
          <w:rFonts w:hint="eastAsia" w:asciiTheme="minorEastAsia" w:hAnsiTheme="minorEastAsia" w:eastAsiaTheme="minorEastAsia" w:cstheme="minorEastAsia"/>
          <w:b w:val="0"/>
          <w:bCs/>
          <w:kern w:val="0"/>
          <w:sz w:val="24"/>
          <w:lang w:eastAsia="zh-CN"/>
        </w:rPr>
        <w:t>供应链金融</w:t>
      </w:r>
    </w:p>
    <w:p>
      <w:pPr>
        <w:widowControl/>
        <w:ind w:firstLine="480" w:firstLineChars="200"/>
        <w:jc w:val="left"/>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6.</w:t>
      </w:r>
      <w:r>
        <w:rPr>
          <w:rFonts w:hint="eastAsia" w:asciiTheme="minorEastAsia" w:hAnsiTheme="minorEastAsia" w:eastAsiaTheme="minorEastAsia" w:cstheme="minorEastAsia"/>
          <w:kern w:val="0"/>
          <w:sz w:val="24"/>
        </w:rPr>
        <w:t>4</w:t>
      </w:r>
      <w:r>
        <w:rPr>
          <w:rFonts w:hint="eastAsia" w:asciiTheme="minorEastAsia" w:hAnsiTheme="minorEastAsia" w:eastAsiaTheme="minorEastAsia" w:cstheme="minorEastAsia"/>
          <w:kern w:val="0"/>
          <w:sz w:val="24"/>
          <w:lang w:val="zh-CN"/>
        </w:rPr>
        <w:t>甲方对乙方的预制生产按生产配料单实行限额供料，限额损耗率标准以甲方统一标准为依据（混凝土损耗</w:t>
      </w:r>
      <w:r>
        <w:rPr>
          <w:rFonts w:hint="eastAsia" w:asciiTheme="minorEastAsia" w:hAnsiTheme="minorEastAsia" w:eastAsiaTheme="minorEastAsia" w:cstheme="minorEastAsia"/>
          <w:kern w:val="0"/>
          <w:sz w:val="24"/>
        </w:rPr>
        <w:t>1.5</w:t>
      </w:r>
      <w:r>
        <w:rPr>
          <w:rFonts w:hint="eastAsia" w:asciiTheme="minorEastAsia" w:hAnsiTheme="minorEastAsia" w:eastAsiaTheme="minorEastAsia" w:cstheme="minorEastAsia"/>
          <w:kern w:val="0"/>
          <w:sz w:val="24"/>
          <w:lang w:val="zh-CN"/>
        </w:rPr>
        <w:t>%）。超过限定的损耗率，由乙方承担超额部分（超额部分按当月</w:t>
      </w:r>
      <w:r>
        <w:rPr>
          <w:rFonts w:hint="eastAsia" w:asciiTheme="minorEastAsia" w:hAnsiTheme="minorEastAsia" w:eastAsiaTheme="minorEastAsia" w:cstheme="minorEastAsia"/>
          <w:kern w:val="0"/>
          <w:sz w:val="24"/>
        </w:rPr>
        <w:t>信息价计算</w:t>
      </w:r>
      <w:r>
        <w:rPr>
          <w:rFonts w:hint="eastAsia" w:asciiTheme="minorEastAsia" w:hAnsiTheme="minorEastAsia" w:eastAsiaTheme="minorEastAsia" w:cstheme="minorEastAsia"/>
          <w:kern w:val="0"/>
          <w:sz w:val="24"/>
          <w:lang w:val="zh-CN"/>
        </w:rPr>
        <w:t>）一切费用及损失。如预制生产不合格且不能再加工利用，由乙方按照甲方采购价赔偿损失；客户让步接收而导致扣款的，乙方须承担此扣款赔偿。</w:t>
      </w:r>
    </w:p>
    <w:p>
      <w:pPr>
        <w:widowControl/>
        <w:ind w:firstLine="480" w:firstLineChars="200"/>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lang w:val="zh-CN"/>
        </w:rPr>
        <w:t>6.</w:t>
      </w:r>
      <w:r>
        <w:rPr>
          <w:rFonts w:hint="eastAsia" w:asciiTheme="minorEastAsia" w:hAnsiTheme="minorEastAsia" w:eastAsiaTheme="minorEastAsia" w:cstheme="minorEastAsia"/>
          <w:kern w:val="0"/>
          <w:sz w:val="24"/>
        </w:rPr>
        <w:t>5按当月实际验收合格量入库量结算。</w:t>
      </w:r>
    </w:p>
    <w:p>
      <w:pPr>
        <w:widowControl/>
        <w:ind w:firstLine="480" w:firstLineChars="200"/>
        <w:jc w:val="left"/>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七、甲乙双方的责任和义务：</w:t>
      </w:r>
    </w:p>
    <w:p>
      <w:pPr>
        <w:widowControl/>
        <w:ind w:firstLine="480" w:firstLineChars="200"/>
        <w:jc w:val="left"/>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（一）、甲方责任和义务</w:t>
      </w:r>
    </w:p>
    <w:p>
      <w:pPr>
        <w:widowControl/>
        <w:ind w:firstLine="480" w:firstLineChars="200"/>
        <w:jc w:val="left"/>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7.1甲方提供生产场地、生产所需图纸、技术指导及厂区内水电。</w:t>
      </w:r>
    </w:p>
    <w:p>
      <w:pPr>
        <w:widowControl/>
        <w:ind w:firstLine="480" w:firstLineChars="200"/>
        <w:jc w:val="left"/>
        <w:rPr>
          <w:rFonts w:asciiTheme="minorEastAsia" w:hAnsiTheme="minorEastAsia" w:eastAsiaTheme="minorEastAsia" w:cstheme="minorEastAsia"/>
          <w:b/>
          <w:bCs/>
          <w:kern w:val="0"/>
          <w:sz w:val="24"/>
        </w:rPr>
      </w:pPr>
      <w:r>
        <w:rPr>
          <w:rFonts w:hint="eastAsia" w:asciiTheme="minorEastAsia" w:hAnsiTheme="minorEastAsia" w:eastAsiaTheme="minorEastAsia" w:cstheme="minorEastAsia"/>
          <w:kern w:val="0"/>
          <w:sz w:val="24"/>
          <w:lang w:val="zh-CN"/>
        </w:rPr>
        <w:t>7.2甲方提供主材（钢筋、桁架筋、混凝土）、保温板、保温连接件、灌浆套筒、</w:t>
      </w:r>
      <w:r>
        <w:rPr>
          <w:rFonts w:hint="eastAsia" w:asciiTheme="minorEastAsia" w:hAnsiTheme="minorEastAsia" w:eastAsiaTheme="minorEastAsia" w:cstheme="minorEastAsia"/>
          <w:kern w:val="0"/>
          <w:sz w:val="24"/>
        </w:rPr>
        <w:t>吊点、线盒、磁盒（正常使用年限不得低于</w:t>
      </w:r>
      <w:r>
        <w:rPr>
          <w:rFonts w:asciiTheme="minorEastAsia" w:hAnsiTheme="minorEastAsia" w:eastAsiaTheme="minorEastAsia" w:cstheme="minorEastAsia"/>
          <w:kern w:val="0"/>
          <w:sz w:val="24"/>
        </w:rPr>
        <w:t>3</w:t>
      </w:r>
      <w:r>
        <w:rPr>
          <w:rFonts w:hint="eastAsia" w:asciiTheme="minorEastAsia" w:hAnsiTheme="minorEastAsia" w:eastAsiaTheme="minorEastAsia" w:cstheme="minorEastAsia"/>
          <w:kern w:val="0"/>
          <w:sz w:val="24"/>
        </w:rPr>
        <w:t>年）、PVC管、生产线、起重设备、运输车辆、定型模具、木材、竹胶板、磁铁、压铁</w:t>
      </w:r>
      <w:r>
        <w:rPr>
          <w:rFonts w:hint="eastAsia" w:asciiTheme="minorEastAsia" w:hAnsiTheme="minorEastAsia" w:eastAsiaTheme="minorEastAsia" w:cstheme="minorEastAsia"/>
          <w:kern w:val="0"/>
          <w:sz w:val="24"/>
          <w:lang w:val="zh-CN"/>
        </w:rPr>
        <w:t>模具</w:t>
      </w:r>
      <w:r>
        <w:rPr>
          <w:rFonts w:hint="eastAsia" w:asciiTheme="minorEastAsia" w:hAnsiTheme="minorEastAsia" w:eastAsiaTheme="minorEastAsia" w:cstheme="minorEastAsia"/>
          <w:b/>
          <w:bCs/>
          <w:kern w:val="0"/>
          <w:sz w:val="24"/>
          <w:lang w:val="zh-CN"/>
        </w:rPr>
        <w:t>（</w:t>
      </w:r>
      <w:r>
        <w:rPr>
          <w:rFonts w:hint="eastAsia" w:asciiTheme="minorEastAsia" w:hAnsiTheme="minorEastAsia" w:eastAsiaTheme="minorEastAsia" w:cstheme="minorEastAsia"/>
          <w:b/>
          <w:bCs/>
          <w:kern w:val="0"/>
          <w:sz w:val="24"/>
        </w:rPr>
        <w:t>只包含压铁</w:t>
      </w:r>
      <w:r>
        <w:rPr>
          <w:rFonts w:hint="eastAsia" w:asciiTheme="minorEastAsia" w:hAnsiTheme="minorEastAsia" w:eastAsiaTheme="minorEastAsia" w:cstheme="minorEastAsia"/>
          <w:b/>
          <w:bCs/>
          <w:kern w:val="0"/>
          <w:sz w:val="24"/>
          <w:lang w:val="zh-CN"/>
        </w:rPr>
        <w:t>）</w:t>
      </w:r>
      <w:r>
        <w:rPr>
          <w:rFonts w:hint="eastAsia" w:asciiTheme="minorEastAsia" w:hAnsiTheme="minorEastAsia" w:eastAsiaTheme="minorEastAsia" w:cstheme="minorEastAsia"/>
          <w:kern w:val="0"/>
          <w:sz w:val="24"/>
          <w:lang w:val="zh-CN"/>
        </w:rPr>
        <w:t>、加工设备及机具、水洗剂、吊装用具、冲洗设备、构件存放架、生活</w:t>
      </w:r>
      <w:r>
        <w:rPr>
          <w:rFonts w:hint="eastAsia" w:asciiTheme="minorEastAsia" w:hAnsiTheme="minorEastAsia" w:eastAsiaTheme="minorEastAsia" w:cstheme="minorEastAsia"/>
          <w:kern w:val="0"/>
          <w:sz w:val="24"/>
        </w:rPr>
        <w:t>设施</w:t>
      </w:r>
      <w:r>
        <w:rPr>
          <w:rFonts w:hint="eastAsia" w:asciiTheme="minorEastAsia" w:hAnsiTheme="minorEastAsia" w:eastAsiaTheme="minorEastAsia" w:cstheme="minorEastAsia"/>
          <w:kern w:val="0"/>
          <w:sz w:val="24"/>
          <w:lang w:val="zh-CN"/>
        </w:rPr>
        <w:t>（包括工人及管理人员住宿、空调、卫生间、淋浴，不含餐饮）、</w:t>
      </w:r>
      <w:r>
        <w:rPr>
          <w:rFonts w:hint="eastAsia" w:asciiTheme="minorEastAsia" w:hAnsiTheme="minorEastAsia" w:eastAsiaTheme="minorEastAsia" w:cstheme="minorEastAsia"/>
          <w:kern w:val="0"/>
          <w:sz w:val="24"/>
        </w:rPr>
        <w:t>生产</w:t>
      </w:r>
      <w:r>
        <w:rPr>
          <w:rFonts w:hint="eastAsia" w:asciiTheme="minorEastAsia" w:hAnsiTheme="minorEastAsia" w:eastAsiaTheme="minorEastAsia" w:cstheme="minorEastAsia"/>
          <w:kern w:val="0"/>
          <w:sz w:val="24"/>
          <w:lang w:val="zh-CN"/>
        </w:rPr>
        <w:t>设备维护所发生的耗材耗能</w:t>
      </w:r>
      <w:r>
        <w:rPr>
          <w:rFonts w:hint="eastAsia" w:asciiTheme="minorEastAsia" w:hAnsiTheme="minorEastAsia" w:eastAsiaTheme="minorEastAsia" w:cstheme="minorEastAsia"/>
          <w:kern w:val="0"/>
          <w:sz w:val="24"/>
          <w:highlight w:val="none"/>
          <w:lang w:val="zh-CN"/>
        </w:rPr>
        <w:t>；其余</w:t>
      </w:r>
      <w:r>
        <w:rPr>
          <w:rFonts w:hint="eastAsia" w:asciiTheme="minorEastAsia" w:hAnsiTheme="minorEastAsia" w:eastAsiaTheme="minorEastAsia" w:cstheme="minorEastAsia"/>
          <w:kern w:val="0"/>
          <w:sz w:val="24"/>
          <w:highlight w:val="none"/>
        </w:rPr>
        <w:t>辅材</w:t>
      </w:r>
      <w:r>
        <w:rPr>
          <w:rFonts w:hint="eastAsia" w:asciiTheme="minorEastAsia" w:hAnsiTheme="minorEastAsia" w:eastAsiaTheme="minorEastAsia" w:cstheme="minorEastAsia"/>
          <w:kern w:val="0"/>
          <w:sz w:val="24"/>
          <w:highlight w:val="none"/>
          <w:lang w:val="zh-CN"/>
        </w:rPr>
        <w:t>均由乙方提供。</w:t>
      </w:r>
    </w:p>
    <w:p>
      <w:pPr>
        <w:ind w:firstLine="360" w:firstLineChars="15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7.3甲方负责编排生产</w:t>
      </w:r>
      <w:r>
        <w:rPr>
          <w:rFonts w:hint="eastAsia" w:asciiTheme="minorEastAsia" w:hAnsiTheme="minorEastAsia" w:eastAsiaTheme="minorEastAsia" w:cstheme="minorEastAsia"/>
          <w:b/>
          <w:bCs/>
          <w:kern w:val="0"/>
          <w:sz w:val="24"/>
        </w:rPr>
        <w:t>总计划及生产总规划</w:t>
      </w:r>
      <w:r>
        <w:rPr>
          <w:rFonts w:hint="eastAsia" w:asciiTheme="minorEastAsia" w:hAnsiTheme="minorEastAsia" w:eastAsiaTheme="minorEastAsia" w:cstheme="minorEastAsia"/>
          <w:kern w:val="0"/>
          <w:sz w:val="24"/>
          <w:lang w:val="zh-CN"/>
        </w:rPr>
        <w:t>和设计变更并及时下达给乙方，对乙方进行生产技术交底、质量检查和安全监督。</w:t>
      </w:r>
    </w:p>
    <w:p>
      <w:pPr>
        <w:ind w:firstLine="360" w:firstLineChars="15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7.4甲方有权随时抽查乙方的施工安全、质量和进度，检查监督乙方工作人员的资质及文明作业，对不符合甲方要求的，要求乙方立即整改，乙方拒不整改的，甲方有权停止乙方的作业，并追偿由此造成的停工损失；</w:t>
      </w:r>
    </w:p>
    <w:p>
      <w:pPr>
        <w:ind w:firstLine="424" w:firstLineChars="177"/>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 xml:space="preserve">7.5乙方员工有下列行为的，甲方有权要求乙方立即更换、补充或退回，并以书面形式通知乙方，乙方必须保证出勤人数，不影响甲方的正常生产工作的进展： </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（1）乙方员工违反操作规程，造成所负责的工作不能正常运行，或不能保证工作质量，给甲方造成损失的；</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（2）乙方员工严重违反甲方规章制度、岗位职责和劳动纪律的；</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（3） 乙方员工不能提供真实有效的身份证明的，或提供虚假的身份证明的；</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（4）乙方员工在工作中谩骂他人或打架斗殴或以肢体、拳脚相击的；</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（5）乙方员工被依法追究刑事责任的；</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（6）乙方因患病或非因工负伤，在规定的医疗期满后不能从事原工作的；</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（7）甲方认定不能胜任工作的；</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（8）其他法律规定、法规规定的情况。</w:t>
      </w:r>
    </w:p>
    <w:p>
      <w:pPr>
        <w:ind w:firstLine="480" w:firstLineChars="2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（二）</w:t>
      </w:r>
      <w:r>
        <w:rPr>
          <w:rFonts w:hint="eastAsia" w:asciiTheme="minorEastAsia" w:hAnsiTheme="minorEastAsia" w:eastAsiaTheme="minorEastAsia" w:cstheme="minorEastAsia"/>
          <w:kern w:val="0"/>
          <w:sz w:val="24"/>
          <w:lang w:val="zh-CN"/>
        </w:rPr>
        <w:t>、</w:t>
      </w:r>
      <w:r>
        <w:rPr>
          <w:rFonts w:hint="eastAsia" w:asciiTheme="minorEastAsia" w:hAnsiTheme="minorEastAsia" w:eastAsiaTheme="minorEastAsia" w:cstheme="minorEastAsia"/>
          <w:kern w:val="0"/>
          <w:sz w:val="24"/>
        </w:rPr>
        <w:t>乙方责任和义务</w:t>
      </w:r>
    </w:p>
    <w:p>
      <w:pPr>
        <w:widowControl/>
        <w:ind w:firstLine="480" w:firstLineChars="200"/>
        <w:jc w:val="left"/>
        <w:rPr>
          <w:rFonts w:asciiTheme="minorEastAsia" w:hAnsiTheme="minorEastAsia" w:eastAsiaTheme="minorEastAsia" w:cstheme="minorEastAsia"/>
          <w:b/>
          <w:bCs/>
          <w:kern w:val="0"/>
          <w:sz w:val="24"/>
        </w:rPr>
      </w:pPr>
      <w:r>
        <w:rPr>
          <w:rFonts w:hint="eastAsia" w:asciiTheme="minorEastAsia" w:hAnsiTheme="minorEastAsia" w:eastAsiaTheme="minorEastAsia" w:cstheme="minorEastAsia"/>
          <w:kern w:val="0"/>
          <w:sz w:val="24"/>
        </w:rPr>
        <w:t>7.6乙方承担甲方提供的设备、材料和工具以外的辅材及工具、</w:t>
      </w:r>
      <w:r>
        <w:rPr>
          <w:rFonts w:hint="eastAsia" w:asciiTheme="minorEastAsia" w:hAnsiTheme="minorEastAsia" w:eastAsiaTheme="minorEastAsia" w:cstheme="minorEastAsia"/>
          <w:kern w:val="0"/>
          <w:sz w:val="24"/>
          <w:lang w:val="zh-CN"/>
        </w:rPr>
        <w:t>劳保用品（安全帽、工作服等劳保用品由乙方自行采购，并要求统一）、</w:t>
      </w:r>
      <w:r>
        <w:rPr>
          <w:rFonts w:hint="eastAsia" w:asciiTheme="minorEastAsia" w:hAnsiTheme="minorEastAsia" w:eastAsiaTheme="minorEastAsia" w:cstheme="minorEastAsia"/>
          <w:kern w:val="0"/>
          <w:sz w:val="24"/>
        </w:rPr>
        <w:t>（见附件1）。</w:t>
      </w:r>
    </w:p>
    <w:p>
      <w:pPr>
        <w:ind w:firstLine="480" w:firstLineChars="2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7.7乙方提供劳务人员在市级以上医院进行的体检报告原件给甲方综合管理部门备案。乙方须与其员工签订劳动合同、安全责任书（其复印件须交甲方存档），以及为员工缴纳工伤、社保、人身意外险等。乙方不按国家规定操作而导致劳资纠纷的，与甲方无关。由乙方不正当操作造成的设备损坏，损失由乙方承担。</w:t>
      </w:r>
    </w:p>
    <w:p>
      <w:pPr>
        <w:ind w:firstLine="480" w:firstLineChars="2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7.8服从甲方的全面管理和考核，服从甲方工作人员监督检查，接收整改意见并及时处置到位。严格遵守甲方规章制度，如有违反，与甲方员工同等处罚，罚款从当月结算款中扣除。情节严重的，甲方可依据本合同终止后续合作。</w:t>
      </w:r>
    </w:p>
    <w:p>
      <w:pPr>
        <w:ind w:firstLine="480" w:firstLineChars="2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7.9甲方指定</w:t>
      </w:r>
      <w:r>
        <w:rPr>
          <w:rFonts w:hint="eastAsia" w:asciiTheme="minorEastAsia" w:hAnsiTheme="minorEastAsia" w:eastAsiaTheme="minorEastAsia" w:cstheme="minorEastAsia"/>
          <w:kern w:val="0"/>
          <w:sz w:val="24"/>
          <w:u w:val="single"/>
        </w:rPr>
        <w:t xml:space="preserve">      </w:t>
      </w:r>
      <w:r>
        <w:rPr>
          <w:rFonts w:hint="eastAsia" w:asciiTheme="minorEastAsia" w:hAnsiTheme="minorEastAsia" w:eastAsiaTheme="minorEastAsia" w:cstheme="minorEastAsia"/>
          <w:kern w:val="0"/>
          <w:sz w:val="24"/>
        </w:rPr>
        <w:t>为驻厂厂长，乙方指定</w:t>
      </w:r>
      <w:r>
        <w:rPr>
          <w:rFonts w:hint="eastAsia" w:asciiTheme="minorEastAsia" w:hAnsiTheme="minorEastAsia" w:eastAsiaTheme="minorEastAsia" w:cstheme="minorEastAsia"/>
          <w:kern w:val="0"/>
          <w:sz w:val="24"/>
          <w:u w:val="single"/>
        </w:rPr>
        <w:t xml:space="preserve">      </w:t>
      </w:r>
      <w:r>
        <w:rPr>
          <w:rFonts w:hint="eastAsia" w:asciiTheme="minorEastAsia" w:hAnsiTheme="minorEastAsia" w:eastAsiaTheme="minorEastAsia" w:cstheme="minorEastAsia"/>
          <w:kern w:val="0"/>
          <w:sz w:val="24"/>
        </w:rPr>
        <w:t>为驻厂经理，代表乙方开展现场管理，乙方为甲方每条生产线配备1名具有相应资历质检人员，配备技术员及安全员1名，共计2名。履约过程中，乙方与员工的任何劳资纠纷与甲方无关。如有人员变更，乙方必须以书面方式提报甲方并经甲方同意。</w:t>
      </w:r>
    </w:p>
    <w:p>
      <w:pPr>
        <w:ind w:firstLine="480" w:firstLineChars="2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7.10乙方保护生产线各类设备设施完好和位置正确，不得任意处置或移动。妥善保管和正确使用甲方提供的各类生产机具，按要求对甲方设备、工具工装维护保养（日常普通保养），人为损坏或遗失照价赔偿（工具清单以甲乙双方生产厂长确认的交接清单为准）。</w:t>
      </w:r>
    </w:p>
    <w:p>
      <w:pPr>
        <w:ind w:firstLine="480" w:firstLineChars="2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7.11乙方可以使用甲方为其提供的生活设施，但发生的用水、用电等费用要自行承担。</w:t>
      </w:r>
    </w:p>
    <w:p>
      <w:pPr>
        <w:ind w:firstLine="480" w:firstLineChars="2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7.12甲方在厂区推行安全、环保及6S管理工作，乙方要全力配合，如因工作拖拉导致安全隐患、6S现场管理问题迟迟得不到整改落实的，甲方有权对乙方进行处罚。</w:t>
      </w:r>
    </w:p>
    <w:p>
      <w:pPr>
        <w:ind w:firstLine="480" w:firstLineChars="2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7.13乙方须教育工作人员保守甲方的各项商业秘密，如因乙方工作人员泄露甲方商业秘密并给甲方造成损失的，乙方须承担相应的赔偿责任。</w:t>
      </w:r>
    </w:p>
    <w:p>
      <w:pPr>
        <w:ind w:firstLine="480" w:firstLineChars="2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lang w:val="zh-CN"/>
        </w:rPr>
        <w:t>八、工期要求及进度要求</w:t>
      </w:r>
    </w:p>
    <w:p>
      <w:pPr>
        <w:widowControl/>
        <w:ind w:firstLine="480" w:firstLineChars="200"/>
        <w:jc w:val="left"/>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rPr>
        <w:t>8.1</w:t>
      </w:r>
      <w:r>
        <w:rPr>
          <w:rFonts w:hint="eastAsia" w:asciiTheme="minorEastAsia" w:hAnsiTheme="minorEastAsia" w:eastAsiaTheme="minorEastAsia" w:cstheme="minorEastAsia"/>
          <w:kern w:val="0"/>
          <w:sz w:val="24"/>
          <w:lang w:val="zh-CN"/>
        </w:rPr>
        <w:t>乙方应根据甲方所提供的条件合理、科学地组织生产，保证达到业内合理产能。甲方根据乙方承诺的产能下达生产任务，乙方应在甲方要求的期限内完成且质量合格，如因乙方原因逾期完成的，将视逾期情况处以</w:t>
      </w:r>
      <w:r>
        <w:rPr>
          <w:rFonts w:hint="eastAsia" w:asciiTheme="minorEastAsia" w:hAnsiTheme="minorEastAsia" w:eastAsiaTheme="minorEastAsia" w:cstheme="minorEastAsia"/>
          <w:kern w:val="0"/>
          <w:sz w:val="24"/>
        </w:rPr>
        <w:t>3</w:t>
      </w:r>
      <w:r>
        <w:rPr>
          <w:rFonts w:hint="eastAsia" w:asciiTheme="minorEastAsia" w:hAnsiTheme="minorEastAsia" w:eastAsiaTheme="minorEastAsia" w:cstheme="minorEastAsia"/>
          <w:kern w:val="0"/>
          <w:sz w:val="24"/>
          <w:lang w:val="zh-CN"/>
        </w:rPr>
        <w:t>00-2000元/天的罚金；如此逾期给甲方造成其他损失的（包括因此导致的甲方向第三方所需承担的违约责任等），乙方须承担其赔偿责任。</w:t>
      </w:r>
    </w:p>
    <w:p>
      <w:pPr>
        <w:widowControl/>
        <w:ind w:firstLine="480" w:firstLineChars="200"/>
        <w:jc w:val="left"/>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sz w:val="24"/>
        </w:rPr>
        <w:t>8.2无论甲方提供的图纸（施工工艺）有多大难易程度，乙方人员需无条件服从甲方安排进行有序生产。</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九、质量标准及验收要求：</w:t>
      </w:r>
    </w:p>
    <w:p>
      <w:pPr>
        <w:ind w:firstLine="480" w:firstLineChars="200"/>
        <w:rPr>
          <w:rFonts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9.1乙方生产的构件质量必须符合现行国家装配式建筑相关标准、企业标准、生产工艺要求以及构件需求方对构件质量的要求，预制构件制作可划分为模具安装、钢筋绑扎、混凝土浇筑、脱模、预制构件</w:t>
      </w:r>
      <w:r>
        <w:rPr>
          <w:rFonts w:hint="eastAsia" w:asciiTheme="minorEastAsia" w:hAnsiTheme="minorEastAsia" w:eastAsiaTheme="minorEastAsia" w:cstheme="minorEastAsia"/>
          <w:sz w:val="24"/>
        </w:rPr>
        <w:t>水</w:t>
      </w:r>
      <w:r>
        <w:rPr>
          <w:rFonts w:hint="eastAsia" w:asciiTheme="minorEastAsia" w:hAnsiTheme="minorEastAsia" w:eastAsiaTheme="minorEastAsia" w:cstheme="minorEastAsia"/>
          <w:sz w:val="24"/>
          <w:lang w:val="zh-CN"/>
        </w:rPr>
        <w:t>洗、修补和养护及预制构件成品存放和成品检测等，乙方的构件生产必须在上一道工序进行现场实测实量，初步验收合格后方可流入下道工序。甲方质量验收标准为本合同有效附件。</w:t>
      </w:r>
    </w:p>
    <w:p>
      <w:pPr>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lang w:val="zh-CN"/>
        </w:rPr>
        <w:t>9.2甲方根据现行</w:t>
      </w:r>
      <w:r>
        <w:rPr>
          <w:rFonts w:hint="eastAsia" w:asciiTheme="minorEastAsia" w:hAnsiTheme="minorEastAsia" w:eastAsiaTheme="minorEastAsia" w:cstheme="minorEastAsia"/>
          <w:sz w:val="24"/>
        </w:rPr>
        <w:t>《混凝土结构工程施工质量验收规范》GB50204-2016、《装配整体式住宅混凝土构件制作、施工及质量验收规程》DG/TJ08-2069-2010    J11578-2010、《装配式混凝土结构技术规程》 JGJ1、</w:t>
      </w:r>
      <w:r>
        <w:rPr>
          <w:rFonts w:hint="eastAsia" w:asciiTheme="minorEastAsia" w:hAnsiTheme="minorEastAsia" w:eastAsiaTheme="minorEastAsia" w:cstheme="minorEastAsia"/>
          <w:sz w:val="24"/>
          <w:lang w:val="zh-CN"/>
        </w:rPr>
        <w:t>《建设工程质量管理条例》、甲方质量管理制度和行业预制构件质量标准，对乙方生产预制构件进行检测验收，乙方生产过程中须严格做好质量自检、互检，合格后方可申请甲方复检验收，甲方验收合格后方可流入下道工序。</w:t>
      </w:r>
      <w:r>
        <w:rPr>
          <w:rFonts w:hint="eastAsia" w:asciiTheme="minorEastAsia" w:hAnsiTheme="minorEastAsia" w:eastAsiaTheme="minorEastAsia" w:cstheme="minorEastAsia"/>
          <w:sz w:val="24"/>
        </w:rPr>
        <w:t>关于劳务方的人员自检、互检标准，劳务人员必须指定专业之间人员在线上进行产品制程和成品检测，合格后方可申请甲方复检验收，对于甲方检查不合格项应无理由返工，对不整改或者拖延整改，每次单项处以100-200元罚款。每次甲方验收时乙方应确认已检验合格，甲方每次检查乙方合格率应达到98%以上，不合格每次每项处以50-200元罚款。</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9.3乙方必须遵照甲方技术、质量交底，</w:t>
      </w:r>
      <w:r>
        <w:rPr>
          <w:rFonts w:hint="eastAsia" w:asciiTheme="minorEastAsia" w:hAnsiTheme="minorEastAsia" w:eastAsiaTheme="minorEastAsia" w:cstheme="minorEastAsia"/>
          <w:kern w:val="0"/>
          <w:sz w:val="24"/>
        </w:rPr>
        <w:t>按照相关质量协议（附件3）要求，</w:t>
      </w:r>
      <w:r>
        <w:rPr>
          <w:rFonts w:hint="eastAsia" w:asciiTheme="minorEastAsia" w:hAnsiTheme="minorEastAsia" w:eastAsiaTheme="minorEastAsia" w:cstheme="minorEastAsia"/>
          <w:kern w:val="0"/>
          <w:sz w:val="24"/>
          <w:lang w:val="zh-CN"/>
        </w:rPr>
        <w:t>精心组织生产。出现问题必须服从甲方整改意见限期整改；如逾期整改，甲方有权对乙方照章罚款。因乙方生产质量低劣，且屡催无效而无法履行合同，甲方有权终止合同，并由乙方承担由此而造成的损失。</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9.4乙方对现场所有已完工产成品负有保护的义务，如有损坏，乙方须自费修复至原状。</w:t>
      </w:r>
    </w:p>
    <w:p>
      <w:pPr>
        <w:ind w:firstLine="480" w:firstLineChars="2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堆场吊装、转运构件过程中出现任何质量问题，由乙方承担责任并赔偿造成的一切损失。</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9.5乙方须安排劳务人员进行劳动健康体检并向甲方提供体检报告或健康证明。</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9.</w:t>
      </w:r>
      <w:r>
        <w:rPr>
          <w:rFonts w:hint="eastAsia" w:asciiTheme="minorEastAsia" w:hAnsiTheme="minorEastAsia" w:eastAsiaTheme="minorEastAsia" w:cstheme="minorEastAsia"/>
          <w:kern w:val="0"/>
          <w:sz w:val="24"/>
        </w:rPr>
        <w:t>6</w:t>
      </w:r>
      <w:r>
        <w:rPr>
          <w:rFonts w:hint="eastAsia" w:asciiTheme="minorEastAsia" w:hAnsiTheme="minorEastAsia" w:eastAsiaTheme="minorEastAsia" w:cstheme="minorEastAsia"/>
          <w:kern w:val="0"/>
          <w:sz w:val="24"/>
          <w:lang w:val="zh-CN"/>
        </w:rPr>
        <w:t>乙方完工交付项目工地的构件，因乙方原因导致的品质问题，</w:t>
      </w:r>
      <w:r>
        <w:rPr>
          <w:rFonts w:hint="eastAsia" w:asciiTheme="minorEastAsia" w:hAnsiTheme="minorEastAsia" w:eastAsiaTheme="minorEastAsia" w:cstheme="minorEastAsia"/>
          <w:kern w:val="0"/>
          <w:sz w:val="24"/>
        </w:rPr>
        <w:t>乙方负责产品的修补工作，由此发生的相关材料费用由乙方承担。如果因</w:t>
      </w:r>
      <w:r>
        <w:rPr>
          <w:rFonts w:hint="eastAsia" w:asciiTheme="minorEastAsia" w:hAnsiTheme="minorEastAsia" w:eastAsiaTheme="minorEastAsia" w:cstheme="minorEastAsia"/>
          <w:kern w:val="0"/>
          <w:sz w:val="24"/>
          <w:lang w:val="zh-CN"/>
        </w:rPr>
        <w:t>品质问题被退货的，甲方有权要求乙方赔偿因此发生的直接及相应的其他损失。</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9.7乙方质量管理人员必须服从甲方质量管理人员的统一管理，服从甲方相关管理人员对施工质量验收和监督。甲方公司质量管理部及生产厂质检员、技术人员及工长等有权对违反施工工艺和影响构件质量的事件和施工人员进行纠正，有权责令其停工或罚款，甲方有权处以乙方每次100元至1万元不等罚金。</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9.8乙方应按国家规定及实际情况配备</w:t>
      </w:r>
      <w:r>
        <w:rPr>
          <w:rFonts w:hint="eastAsia" w:asciiTheme="minorEastAsia" w:hAnsiTheme="minorEastAsia" w:eastAsiaTheme="minorEastAsia" w:cstheme="minorEastAsia"/>
          <w:kern w:val="0"/>
          <w:sz w:val="24"/>
        </w:rPr>
        <w:t>具有相应资历的</w:t>
      </w:r>
      <w:r>
        <w:rPr>
          <w:rFonts w:hint="eastAsia" w:asciiTheme="minorEastAsia" w:hAnsiTheme="minorEastAsia" w:eastAsiaTheme="minorEastAsia" w:cstheme="minorEastAsia"/>
          <w:kern w:val="0"/>
          <w:sz w:val="24"/>
          <w:lang w:val="zh-CN"/>
        </w:rPr>
        <w:t>质量检查员，以保证能够执行本合同质量管理工作的各项要求。设置</w:t>
      </w:r>
      <w:r>
        <w:rPr>
          <w:rFonts w:hint="eastAsia" w:asciiTheme="minorEastAsia" w:hAnsiTheme="minorEastAsia" w:eastAsiaTheme="minorEastAsia" w:cstheme="minorEastAsia"/>
          <w:kern w:val="0"/>
          <w:sz w:val="24"/>
        </w:rPr>
        <w:t>专职</w:t>
      </w:r>
      <w:r>
        <w:rPr>
          <w:rFonts w:hint="eastAsia" w:asciiTheme="minorEastAsia" w:hAnsiTheme="minorEastAsia" w:eastAsiaTheme="minorEastAsia" w:cstheme="minorEastAsia"/>
          <w:kern w:val="0"/>
          <w:sz w:val="24"/>
          <w:lang w:val="zh-CN"/>
        </w:rPr>
        <w:t>质量检查员并不免除乙方所承担的职责、义务和责任。未设质检员的视为违约，违约金按</w:t>
      </w:r>
      <w:r>
        <w:rPr>
          <w:rFonts w:hint="eastAsia" w:asciiTheme="minorEastAsia" w:hAnsiTheme="minorEastAsia" w:eastAsiaTheme="minorEastAsia" w:cstheme="minorEastAsia"/>
          <w:kern w:val="0"/>
          <w:sz w:val="24"/>
        </w:rPr>
        <w:t>当月结算额</w:t>
      </w:r>
      <w:r>
        <w:rPr>
          <w:rFonts w:hint="eastAsia" w:asciiTheme="minorEastAsia" w:hAnsiTheme="minorEastAsia" w:eastAsiaTheme="minorEastAsia" w:cstheme="minorEastAsia"/>
          <w:kern w:val="0"/>
          <w:sz w:val="24"/>
          <w:lang w:val="zh-CN"/>
        </w:rPr>
        <w:t>的0.5%计算。</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9.9乙方质量管理人员必须配备与合同中相符的</w:t>
      </w:r>
      <w:r>
        <w:rPr>
          <w:rFonts w:hint="eastAsia" w:asciiTheme="minorEastAsia" w:hAnsiTheme="minorEastAsia" w:eastAsiaTheme="minorEastAsia" w:cstheme="minorEastAsia"/>
          <w:kern w:val="0"/>
          <w:sz w:val="24"/>
        </w:rPr>
        <w:t>具有相应资历</w:t>
      </w:r>
      <w:r>
        <w:rPr>
          <w:rFonts w:hint="eastAsia" w:asciiTheme="minorEastAsia" w:hAnsiTheme="minorEastAsia" w:eastAsiaTheme="minorEastAsia" w:cstheme="minorEastAsia"/>
          <w:kern w:val="0"/>
          <w:sz w:val="24"/>
          <w:lang w:val="zh-CN"/>
        </w:rPr>
        <w:t>的质检人员，并不得擅自更换，应满足质量检查要求，配备相关的检测工具、质量验收标准、规范和有关的图集、图册等，在开工前将技术规程等配备状况以书面形式报甲方质检部门。</w:t>
      </w:r>
    </w:p>
    <w:p>
      <w:pPr>
        <w:widowControl/>
        <w:ind w:firstLine="480" w:firstLineChars="200"/>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9.10因为乙方生产过程中的质量或者生产进度等导致项目发货不及时的，质量问题每次处以500-2000元罚款，生产进度每次处以10000-20000元罚款，情节严重，对所涉及的构件按照市场价赔偿，甲方有权终止合同，并由乙方承担由此造成的损失。</w:t>
      </w:r>
    </w:p>
    <w:p>
      <w:pPr>
        <w:widowControl/>
        <w:ind w:firstLine="480" w:firstLineChars="200"/>
        <w:jc w:val="left"/>
        <w:rPr>
          <w:rFonts w:asciiTheme="minorEastAsia" w:hAnsiTheme="minorEastAsia" w:eastAsiaTheme="minorEastAsia" w:cstheme="minorEastAsia"/>
          <w:b/>
          <w:bCs/>
          <w:kern w:val="0"/>
          <w:sz w:val="24"/>
        </w:rPr>
      </w:pPr>
      <w:r>
        <w:rPr>
          <w:rFonts w:hint="eastAsia" w:asciiTheme="minorEastAsia" w:hAnsiTheme="minorEastAsia" w:eastAsiaTheme="minorEastAsia" w:cstheme="minorEastAsia"/>
          <w:sz w:val="24"/>
        </w:rPr>
        <w:t>9.11明确各设备使用周期，使用人员，维修频率，在使用周期内损坏的甲方有权要求乙方立即更换、补充。</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十、安全生产及文明施工</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w:t>
      </w:r>
      <w:r>
        <w:rPr>
          <w:rFonts w:hint="eastAsia" w:asciiTheme="minorEastAsia" w:hAnsiTheme="minorEastAsia" w:eastAsiaTheme="minorEastAsia" w:cstheme="minorEastAsia"/>
          <w:kern w:val="0"/>
          <w:sz w:val="24"/>
        </w:rPr>
        <w:t>0</w:t>
      </w:r>
      <w:r>
        <w:rPr>
          <w:rFonts w:hint="eastAsia" w:asciiTheme="minorEastAsia" w:hAnsiTheme="minorEastAsia" w:eastAsiaTheme="minorEastAsia" w:cstheme="minorEastAsia"/>
          <w:kern w:val="0"/>
          <w:sz w:val="24"/>
          <w:lang w:val="zh-CN"/>
        </w:rPr>
        <w:t>.1、生产前乙方必须与甲方签订安全生产协议（协议签订前带齐所需资料在安环部签订），并严格按照相关约定执行。</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w:t>
      </w:r>
      <w:r>
        <w:rPr>
          <w:rFonts w:hint="eastAsia" w:asciiTheme="minorEastAsia" w:hAnsiTheme="minorEastAsia" w:eastAsiaTheme="minorEastAsia" w:cstheme="minorEastAsia"/>
          <w:kern w:val="0"/>
          <w:sz w:val="24"/>
        </w:rPr>
        <w:t>0</w:t>
      </w:r>
      <w:r>
        <w:rPr>
          <w:rFonts w:hint="eastAsia" w:asciiTheme="minorEastAsia" w:hAnsiTheme="minorEastAsia" w:eastAsiaTheme="minorEastAsia" w:cstheme="minorEastAsia"/>
          <w:kern w:val="0"/>
          <w:sz w:val="24"/>
          <w:lang w:val="zh-CN"/>
        </w:rPr>
        <w:t>.2、乙方在生产过程中必须采取有效措施保证安全生产，保证文明施工。</w:t>
      </w:r>
    </w:p>
    <w:p>
      <w:pPr>
        <w:ind w:firstLine="480" w:firstLineChars="200"/>
        <w:rPr>
          <w:rFonts w:asciiTheme="minorEastAsia" w:hAnsiTheme="minorEastAsia" w:eastAsiaTheme="minorEastAsia" w:cstheme="minorEastAsia"/>
          <w:kern w:val="0"/>
          <w:sz w:val="24"/>
          <w:highlight w:val="yellow"/>
          <w:lang w:val="zh-CN"/>
        </w:rPr>
      </w:pPr>
      <w:r>
        <w:rPr>
          <w:rFonts w:hint="eastAsia" w:asciiTheme="minorEastAsia" w:hAnsiTheme="minorEastAsia" w:eastAsiaTheme="minorEastAsia" w:cstheme="minorEastAsia"/>
          <w:kern w:val="0"/>
          <w:sz w:val="24"/>
        </w:rPr>
        <w:t>10.3</w:t>
      </w:r>
      <w:r>
        <w:rPr>
          <w:rFonts w:hint="eastAsia" w:asciiTheme="minorEastAsia" w:hAnsiTheme="minorEastAsia" w:eastAsiaTheme="minorEastAsia" w:cstheme="minorEastAsia"/>
          <w:kern w:val="0"/>
          <w:sz w:val="24"/>
          <w:lang w:val="zh-CN"/>
        </w:rPr>
        <w:t>乙方应按国家规定及实际情况配备具有证件的专职</w:t>
      </w:r>
      <w:r>
        <w:rPr>
          <w:rFonts w:hint="eastAsia" w:asciiTheme="minorEastAsia" w:hAnsiTheme="minorEastAsia" w:eastAsiaTheme="minorEastAsia" w:cstheme="minorEastAsia"/>
          <w:kern w:val="0"/>
          <w:sz w:val="24"/>
        </w:rPr>
        <w:t>安全网</w:t>
      </w:r>
      <w:r>
        <w:rPr>
          <w:rFonts w:hint="eastAsia" w:asciiTheme="minorEastAsia" w:hAnsiTheme="minorEastAsia" w:eastAsiaTheme="minorEastAsia" w:cstheme="minorEastAsia"/>
          <w:kern w:val="0"/>
          <w:sz w:val="24"/>
          <w:lang w:val="zh-CN"/>
        </w:rPr>
        <w:t>员，以保证</w:t>
      </w:r>
      <w:r>
        <w:rPr>
          <w:rFonts w:hint="eastAsia" w:asciiTheme="minorEastAsia" w:hAnsiTheme="minorEastAsia" w:eastAsiaTheme="minorEastAsia" w:cstheme="minorEastAsia"/>
          <w:kern w:val="0"/>
          <w:sz w:val="24"/>
        </w:rPr>
        <w:t>执行甲方安全、环保及6S管理方面的相关规定</w:t>
      </w:r>
      <w:r>
        <w:rPr>
          <w:rFonts w:hint="eastAsia" w:asciiTheme="minorEastAsia" w:hAnsiTheme="minorEastAsia" w:eastAsiaTheme="minorEastAsia" w:cstheme="minorEastAsia"/>
          <w:kern w:val="0"/>
          <w:sz w:val="24"/>
          <w:lang w:val="zh-CN"/>
        </w:rPr>
        <w:t>。设置专职</w:t>
      </w:r>
      <w:r>
        <w:rPr>
          <w:rFonts w:hint="eastAsia" w:asciiTheme="minorEastAsia" w:hAnsiTheme="minorEastAsia" w:eastAsiaTheme="minorEastAsia" w:cstheme="minorEastAsia"/>
          <w:kern w:val="0"/>
          <w:sz w:val="24"/>
        </w:rPr>
        <w:t>安全网</w:t>
      </w:r>
      <w:r>
        <w:rPr>
          <w:rFonts w:hint="eastAsia" w:asciiTheme="minorEastAsia" w:hAnsiTheme="minorEastAsia" w:eastAsiaTheme="minorEastAsia" w:cstheme="minorEastAsia"/>
          <w:kern w:val="0"/>
          <w:sz w:val="24"/>
          <w:lang w:val="zh-CN"/>
        </w:rPr>
        <w:t>员并不免除乙方所承担的职责、义务和责任。未设专职</w:t>
      </w:r>
      <w:r>
        <w:rPr>
          <w:rFonts w:hint="eastAsia" w:asciiTheme="minorEastAsia" w:hAnsiTheme="minorEastAsia" w:eastAsiaTheme="minorEastAsia" w:cstheme="minorEastAsia"/>
          <w:kern w:val="0"/>
          <w:sz w:val="24"/>
        </w:rPr>
        <w:t>安全网</w:t>
      </w:r>
      <w:r>
        <w:rPr>
          <w:rFonts w:hint="eastAsia" w:asciiTheme="minorEastAsia" w:hAnsiTheme="minorEastAsia" w:eastAsiaTheme="minorEastAsia" w:cstheme="minorEastAsia"/>
          <w:kern w:val="0"/>
          <w:sz w:val="24"/>
          <w:lang w:val="zh-CN"/>
        </w:rPr>
        <w:t>员的视为违约，违约金按</w:t>
      </w:r>
      <w:r>
        <w:rPr>
          <w:rFonts w:hint="eastAsia" w:asciiTheme="minorEastAsia" w:hAnsiTheme="minorEastAsia" w:eastAsiaTheme="minorEastAsia" w:cstheme="minorEastAsia"/>
          <w:kern w:val="0"/>
          <w:sz w:val="24"/>
        </w:rPr>
        <w:t>当月结算额</w:t>
      </w:r>
      <w:r>
        <w:rPr>
          <w:rFonts w:hint="eastAsia" w:asciiTheme="minorEastAsia" w:hAnsiTheme="minorEastAsia" w:eastAsiaTheme="minorEastAsia" w:cstheme="minorEastAsia"/>
          <w:kern w:val="0"/>
          <w:sz w:val="24"/>
          <w:lang w:val="zh-CN"/>
        </w:rPr>
        <w:t>的0.5%计算。</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十一、人员管理</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11.1乙方驻厂管理人员要求：</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1）遵守甲方制度，外出必须向甲方生产经理请假（超过1个工作日需书面签审）。</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2）执行班前会制度，会上及时反映生产任务、人员管理、问题建议</w:t>
      </w:r>
      <w:r>
        <w:rPr>
          <w:rFonts w:hint="eastAsia" w:asciiTheme="minorEastAsia" w:hAnsiTheme="minorEastAsia" w:eastAsiaTheme="minorEastAsia" w:cstheme="minorEastAsia"/>
          <w:kern w:val="0"/>
          <w:sz w:val="24"/>
        </w:rPr>
        <w:t>及每日安全6S宣贯</w:t>
      </w:r>
      <w:r>
        <w:rPr>
          <w:rFonts w:hint="eastAsia" w:asciiTheme="minorEastAsia" w:hAnsiTheme="minorEastAsia" w:eastAsiaTheme="minorEastAsia" w:cstheme="minorEastAsia"/>
          <w:kern w:val="0"/>
          <w:sz w:val="24"/>
          <w:lang w:val="zh-CN"/>
        </w:rPr>
        <w:t>等，及时解决生产当中的问题，及时提出问题和需求。</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3）按照甲方培训计划安排，组织开展工人技能培训与考试，</w:t>
      </w:r>
      <w:r>
        <w:rPr>
          <w:rFonts w:hint="eastAsia" w:asciiTheme="minorEastAsia" w:hAnsiTheme="minorEastAsia" w:eastAsiaTheme="minorEastAsia" w:cstheme="minorEastAsia"/>
          <w:kern w:val="0"/>
          <w:sz w:val="24"/>
        </w:rPr>
        <w:t>甲方不定期对乙方工人进行技能检查</w:t>
      </w:r>
      <w:r>
        <w:rPr>
          <w:rFonts w:hint="eastAsia" w:asciiTheme="minorEastAsia" w:hAnsiTheme="minorEastAsia" w:eastAsiaTheme="minorEastAsia" w:cstheme="minorEastAsia"/>
          <w:kern w:val="0"/>
          <w:sz w:val="24"/>
          <w:lang w:val="zh-CN"/>
        </w:rPr>
        <w:t>。</w:t>
      </w:r>
    </w:p>
    <w:p>
      <w:pPr>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lang w:val="zh-CN"/>
        </w:rPr>
        <w:t>4）乙方中途更换人员，必须事先通知甲方并按本合同约定履行相关手续。</w:t>
      </w:r>
      <w:r>
        <w:rPr>
          <w:rFonts w:hint="eastAsia" w:asciiTheme="minorEastAsia" w:hAnsiTheme="minorEastAsia" w:eastAsiaTheme="minorEastAsia" w:cstheme="minorEastAsia"/>
          <w:sz w:val="24"/>
        </w:rPr>
        <w:t>对于劳务人员岗位设置，要求劳务根据人员岗位设置制定组织架构图并限制组长及以上岗位人员流动性，重要岗位人员变动提前半月或一月告知甲方。</w:t>
      </w:r>
    </w:p>
    <w:p>
      <w:pPr>
        <w:ind w:firstLine="480" w:firstLineChars="200"/>
        <w:rPr>
          <w:rFonts w:asciiTheme="minorEastAsia" w:hAnsiTheme="minorEastAsia" w:eastAsiaTheme="minorEastAsia" w:cstheme="minorEastAsia"/>
          <w:sz w:val="24"/>
          <w:lang w:val="zh-CN"/>
        </w:rPr>
      </w:pPr>
      <w:r>
        <w:rPr>
          <w:rFonts w:hint="eastAsia" w:asciiTheme="minorEastAsia" w:hAnsiTheme="minorEastAsia" w:eastAsiaTheme="minorEastAsia" w:cstheme="minorEastAsia"/>
          <w:kern w:val="0"/>
          <w:sz w:val="24"/>
        </w:rPr>
        <w:t>5）乙方工人进场后不能随意更换，人员技能必须符合甲方生产需求。</w:t>
      </w:r>
      <w:r>
        <w:rPr>
          <w:rFonts w:hint="eastAsia" w:asciiTheme="minorEastAsia" w:hAnsiTheme="minorEastAsia" w:eastAsiaTheme="minorEastAsia" w:cstheme="minorEastAsia"/>
          <w:sz w:val="24"/>
        </w:rPr>
        <w:t>明确各班组管理人员设置情况，定员定岗同时要对人员流动性有明确要求，且明确新进厂工人的技能标准。</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rPr>
        <w:t>6</w:t>
      </w:r>
      <w:r>
        <w:rPr>
          <w:rFonts w:hint="eastAsia" w:asciiTheme="minorEastAsia" w:hAnsiTheme="minorEastAsia" w:eastAsiaTheme="minorEastAsia" w:cstheme="minorEastAsia"/>
          <w:kern w:val="0"/>
          <w:sz w:val="24"/>
          <w:lang w:val="zh-CN"/>
        </w:rPr>
        <w:t>）乙方人员随时满足甲方项目生产计划需要，因甲方市场订单原因项目大幅度增长或不足时，甲方提前3天书面通知，乙方无条件按通知要求作出相应人员安排，甲方不承担任何费用。</w:t>
      </w:r>
      <w:r>
        <w:rPr>
          <w:rFonts w:hint="eastAsia" w:asciiTheme="minorEastAsia" w:hAnsiTheme="minorEastAsia" w:eastAsiaTheme="minorEastAsia" w:cstheme="minorEastAsia"/>
          <w:kern w:val="0"/>
          <w:sz w:val="24"/>
        </w:rPr>
        <w:t>因乙方人员不满足生产导致的发货延误等后果依据本合同9.10执行</w:t>
      </w:r>
      <w:r>
        <w:rPr>
          <w:rFonts w:hint="eastAsia" w:asciiTheme="minorEastAsia" w:hAnsiTheme="minorEastAsia" w:eastAsiaTheme="minorEastAsia" w:cstheme="minorEastAsia"/>
          <w:kern w:val="0"/>
          <w:sz w:val="24"/>
          <w:lang w:val="zh-CN"/>
        </w:rPr>
        <w:t>。</w:t>
      </w:r>
    </w:p>
    <w:p>
      <w:pPr>
        <w:ind w:firstLine="480" w:firstLineChars="2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生产线乙方管理人员每月要对乙方生产人员进行考核评分制，进行末位淘汰制度。甲方生产厂对乙方管理人员每月进行考核，考核包含生产效率、生产质量、现场6S管理等。每月考核报表需在当月月底上交。对于不合格人员甲方有权要求乙方及时更换管理及生产人员，乙方必须执行。</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11.2乙方人员劳动纪律（三必须四严禁）：</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1）上班必须穿劳保服带安全帽；</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2）工作必须服从指挥；</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3）工作完必须清理现场保持整洁；</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4）严禁在车间和堆场吸烟（指定吸烟点除外），严禁酒后作业；</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5）严禁在吊装物下穿越或逗留；</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6）严禁谩骂工友，严禁打架斗殴；</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11.3实名制管理</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1、乙方在工人进场两个工作日内将进入车间的作业人员年龄（</w:t>
      </w:r>
      <w:r>
        <w:rPr>
          <w:rFonts w:hint="eastAsia" w:asciiTheme="minorEastAsia" w:hAnsiTheme="minorEastAsia" w:eastAsiaTheme="minorEastAsia" w:cstheme="minorEastAsia"/>
          <w:kern w:val="0"/>
          <w:sz w:val="24"/>
        </w:rPr>
        <w:t>乙方用工年龄不得超过55周岁</w:t>
      </w:r>
      <w:r>
        <w:rPr>
          <w:rFonts w:hint="eastAsia" w:asciiTheme="minorEastAsia" w:hAnsiTheme="minorEastAsia" w:eastAsiaTheme="minorEastAsia" w:cstheme="minorEastAsia"/>
          <w:kern w:val="0"/>
          <w:sz w:val="24"/>
          <w:lang w:val="zh-CN"/>
        </w:rPr>
        <w:t>）、工种、身份证、家庭住址、用工合同签订、进出场时间等个人信息上报甲方劳资员，由甲方审核、登记、建立《生产厂工人花名册》。</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2、生产车间已安装考勤设备，每天进入车间的乙方作业人员必须遵守甲方日常考勤制度，每天不少于4次（早上1次，中午上下班各1次，下午1次）。甲方劳资员负责对乙方作业人员考勤记录收集整理，每月定期进行现场公示5日。乙方人员若有异议，需在公示期内与甲方劳资员进行澄清。</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3、乙方负责人必须每月初将上月《农民工工资发放表》（工资表包含工人姓名、住址、身份证号、工资金额等，并加盖乙方公司公章）上报甲方劳资员进行签字核实，经甲方核实花名册、考勤册、工资册确实统一后，甲方予以拨付当月工程款；否则，不予拨付当月工程款。</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4、乙方应在作业人员进场前按甲方要求向甲方劳资员上报《用工登记表》和作业人员基本信息。甲方劳资员在审核用工登记表时，采集乙方作业人员的面相或指纹进行电子信息登记。</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5、乙方施工作业人员退场前，须按甲方要求上报《生产厂人员出场登记表》，乙方作业人员签字确认并经甲方审核确认后方可退场。</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11.4惩罚措施</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对不按规定要求履行的乙方人员及乙方单位实行经济处罚，罚款直接从拨付的工程款中扣除。具体情况如下：</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1、对乙方人员进场时不能按甲方要求提供人员信息并进行信息采集登记的罚款100元/每人次。</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2、对不按甲方考勤制度要求进行考勤的罚款100元/每人次。</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3、对不按甲方工资发放要求实施的，如乙方不予提供《农民工工资发放表》，或提供的工资表与花名册、考勤册不符，或提供的工资表没有加盖乙方单位公章，甲方均有权停止拨付工程款，并罚款1000元/次。</w:t>
      </w:r>
    </w:p>
    <w:p>
      <w:pPr>
        <w:ind w:firstLine="480" w:firstLineChars="200"/>
        <w:rPr>
          <w:rFonts w:asciiTheme="minorEastAsia" w:hAnsiTheme="minorEastAsia" w:eastAsiaTheme="minorEastAsia" w:cstheme="minorEastAsia"/>
          <w:kern w:val="0"/>
          <w:sz w:val="24"/>
          <w:highlight w:val="yellow"/>
          <w:lang w:val="zh-CN"/>
        </w:rPr>
      </w:pPr>
      <w:r>
        <w:rPr>
          <w:rFonts w:hint="eastAsia" w:asciiTheme="minorEastAsia" w:hAnsiTheme="minorEastAsia" w:eastAsiaTheme="minorEastAsia" w:cstheme="minorEastAsia"/>
          <w:kern w:val="0"/>
          <w:sz w:val="24"/>
          <w:lang w:val="zh-CN"/>
        </w:rPr>
        <w:t>4、对施工作业人员出场时不按本要求填报《作业人员出场登记表》的，罚款100元/每人次。</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十二、违约责任</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12.1有下列情况之一，均属乙方违约：</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1）因乙方自身原因半年内累计3次以上（含3次）不能如期完成生产任务而影响总体生产进度的；</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2）因乙方自身原因未能在甲方规定的时间内完成整改内容，并经催促无效的；</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3）因乙方生产问题导致产品不符合甲方质量验收标准，造成甲方材料浪费、进度滞后和信誉损害的；</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4）乙方中途放弃承包或将工程转包给第三者；</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5）乙方聚众闹事、哄抬工价、缠索工费，扰乱甲方正常工作秩序的；</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6）乙方指派的生产经理或其他管理人员经常擅离工作岗位，或乙方生产人员严重影响甲方其</w:t>
      </w:r>
      <w:r>
        <w:rPr>
          <w:rFonts w:hint="eastAsia" w:asciiTheme="minorEastAsia" w:hAnsiTheme="minorEastAsia" w:eastAsiaTheme="minorEastAsia" w:cstheme="minorEastAsia"/>
          <w:kern w:val="0"/>
          <w:sz w:val="24"/>
        </w:rPr>
        <w:t>它</w:t>
      </w:r>
      <w:r>
        <w:rPr>
          <w:rFonts w:hint="eastAsia" w:asciiTheme="minorEastAsia" w:hAnsiTheme="minorEastAsia" w:eastAsiaTheme="minorEastAsia" w:cstheme="minorEastAsia"/>
          <w:kern w:val="0"/>
          <w:sz w:val="24"/>
          <w:lang w:val="zh-CN"/>
        </w:rPr>
        <w:t>工序的；</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7）未经甲方允许，乙方无故停工的。</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对乙方上述的违约行为，甲方有权对乙方进行每次处以5000元以上违约金</w:t>
      </w:r>
      <w:r>
        <w:rPr>
          <w:rFonts w:hint="eastAsia" w:asciiTheme="minorEastAsia" w:hAnsiTheme="minorEastAsia" w:eastAsiaTheme="minorEastAsia" w:cstheme="minorEastAsia"/>
          <w:kern w:val="0"/>
          <w:sz w:val="24"/>
        </w:rPr>
        <w:t>处罚</w:t>
      </w:r>
      <w:r>
        <w:rPr>
          <w:rFonts w:hint="eastAsia" w:asciiTheme="minorEastAsia" w:hAnsiTheme="minorEastAsia" w:eastAsiaTheme="minorEastAsia" w:cstheme="minorEastAsia"/>
          <w:kern w:val="0"/>
          <w:sz w:val="24"/>
          <w:lang w:val="zh-CN"/>
        </w:rPr>
        <w:t>，并赔偿损失或终止合同等。</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12.2由于甲方原因，要求乙方对已完工程进行返工重做的：其变更费用在1000元以外的，由甲方补偿乙方因返工而引起的实际损失费用；在上述金额内的变更费用甲方已在乙方的工价中考虑，不再补偿。</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12.3由于乙方中途无故放弃承包任务或中途擅自停工的，造成甲方总体生产进度滞后，甲方有权拒付劳务款，并要求乙方承担20000元的违约金及承担因此导致的甲方全部经济损失。</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本合同经双方法定代表人或其授权的委托代表人签章并加盖公章（或合同专用章）后生效。该合同一式肆份，甲方执贰份，乙方执贰份，具同等法律效力。</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十三、其他</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14.1为满足安全、文明生产需要，乙方所有作业人员进入作业区内必须按照甲方生产管理规范穿戴劳保用品（工作服、安全帽）。</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14.2工程所在地政府要求办理的暂住证、乙方特殊工种的上岗培训等費用由乙方自理；因拒绝办理而导致乙方或者甲方受到地方主管部门的罚款由乙方承担。</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14.3因本合同履行发生争议，双方协商解决。协商不成的，可向杜集区法院提起诉讼。</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14.4甲乙双方的对账依据为经甲方</w:t>
      </w:r>
      <w:r>
        <w:rPr>
          <w:rFonts w:hint="eastAsia" w:asciiTheme="minorEastAsia" w:hAnsiTheme="minorEastAsia" w:eastAsiaTheme="minorEastAsia" w:cstheme="minorEastAsia"/>
          <w:kern w:val="0"/>
          <w:sz w:val="24"/>
        </w:rPr>
        <w:t>质检</w:t>
      </w:r>
      <w:r>
        <w:rPr>
          <w:rFonts w:hint="eastAsia" w:asciiTheme="minorEastAsia" w:hAnsiTheme="minorEastAsia" w:eastAsiaTheme="minorEastAsia" w:cstheme="minorEastAsia"/>
          <w:kern w:val="0"/>
          <w:sz w:val="24"/>
          <w:lang w:val="zh-CN"/>
        </w:rPr>
        <w:t>部门签字确认的质检</w:t>
      </w:r>
      <w:r>
        <w:rPr>
          <w:rFonts w:hint="eastAsia" w:asciiTheme="minorEastAsia" w:hAnsiTheme="minorEastAsia" w:eastAsiaTheme="minorEastAsia" w:cstheme="minorEastAsia"/>
          <w:kern w:val="0"/>
          <w:sz w:val="24"/>
        </w:rPr>
        <w:t>检</w:t>
      </w:r>
      <w:r>
        <w:rPr>
          <w:rFonts w:hint="eastAsia" w:asciiTheme="minorEastAsia" w:hAnsiTheme="minorEastAsia" w:eastAsiaTheme="minorEastAsia" w:cstheme="minorEastAsia"/>
          <w:kern w:val="0"/>
          <w:sz w:val="24"/>
          <w:lang w:val="zh-CN"/>
        </w:rPr>
        <w:t>验单为准。</w:t>
      </w:r>
    </w:p>
    <w:p>
      <w:pPr>
        <w:ind w:firstLine="480" w:firstLineChars="200"/>
        <w:rPr>
          <w:rFonts w:hint="eastAsia"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14.5以上报价是合同期限内（自签订之日起一年）的平行报价，中间不再接受价格调整。</w:t>
      </w:r>
    </w:p>
    <w:p>
      <w:pPr>
        <w:ind w:firstLine="480" w:firstLineChars="200"/>
        <w:rPr>
          <w:rFonts w:hint="default" w:asciiTheme="minorEastAsia" w:hAnsiTheme="minorEastAsia" w:eastAsiaTheme="minorEastAsia" w:cstheme="minorEastAsia"/>
          <w:kern w:val="0"/>
          <w:sz w:val="24"/>
          <w:lang w:val="en-US" w:eastAsia="zh-CN"/>
        </w:rPr>
      </w:pPr>
      <w:r>
        <w:rPr>
          <w:rFonts w:hint="eastAsia" w:asciiTheme="minorEastAsia" w:hAnsiTheme="minorEastAsia" w:eastAsiaTheme="minorEastAsia" w:cstheme="minorEastAsia"/>
          <w:kern w:val="0"/>
          <w:sz w:val="24"/>
          <w:lang w:val="en-US" w:eastAsia="zh-CN"/>
        </w:rPr>
        <w:t>14.6本合同期内，甲方有权随时单方面解除合同，自解除合同通知书送达乙方时自动解除合同。乙方需在收到甲方解除合同通知书后2日内向甲方交接全部工作，并安排全部劳务人员退场。</w:t>
      </w:r>
    </w:p>
    <w:p>
      <w:pPr>
        <w:ind w:firstLine="480" w:firstLineChars="200"/>
        <w:rPr>
          <w:rFonts w:hint="eastAsia"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14.</w:t>
      </w:r>
      <w:r>
        <w:rPr>
          <w:rFonts w:hint="eastAsia" w:asciiTheme="minorEastAsia" w:hAnsiTheme="minorEastAsia" w:eastAsiaTheme="minorEastAsia" w:cstheme="minorEastAsia"/>
          <w:kern w:val="0"/>
          <w:sz w:val="24"/>
          <w:lang w:val="en-US" w:eastAsia="zh-CN"/>
        </w:rPr>
        <w:t>7</w:t>
      </w:r>
      <w:r>
        <w:rPr>
          <w:rFonts w:hint="eastAsia" w:asciiTheme="minorEastAsia" w:hAnsiTheme="minorEastAsia" w:eastAsiaTheme="minorEastAsia" w:cstheme="minorEastAsia"/>
          <w:kern w:val="0"/>
          <w:sz w:val="24"/>
          <w:lang w:val="zh-CN"/>
        </w:rPr>
        <w:t>合同生效及份数：本合同自双方签字、盖章之日起生效；本合同一式肆份，甲乙双方各执贰份。</w:t>
      </w:r>
    </w:p>
    <w:tbl>
      <w:tblPr>
        <w:tblStyle w:val="14"/>
        <w:tblW w:w="863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84"/>
        <w:gridCol w:w="2804"/>
        <w:gridCol w:w="1476"/>
        <w:gridCol w:w="1880"/>
        <w:gridCol w:w="15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7" w:hRule="atLeast"/>
        </w:trPr>
        <w:tc>
          <w:tcPr>
            <w:tcW w:w="3688" w:type="dxa"/>
            <w:gridSpan w:val="2"/>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8"/>
                <w:szCs w:val="28"/>
                <w:u w:val="none"/>
              </w:rPr>
            </w:pPr>
          </w:p>
        </w:tc>
        <w:tc>
          <w:tcPr>
            <w:tcW w:w="1476"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8"/>
                <w:szCs w:val="28"/>
                <w:u w:val="none"/>
              </w:rPr>
            </w:pPr>
          </w:p>
        </w:tc>
        <w:tc>
          <w:tcPr>
            <w:tcW w:w="1880" w:type="dxa"/>
            <w:tcBorders>
              <w:top w:val="nil"/>
              <w:left w:val="nil"/>
              <w:bottom w:val="nil"/>
              <w:right w:val="nil"/>
            </w:tcBorders>
            <w:shd w:val="clear" w:color="auto" w:fill="auto"/>
            <w:noWrap/>
            <w:vAlign w:val="bottom"/>
          </w:tcPr>
          <w:p>
            <w:pPr>
              <w:rPr>
                <w:rFonts w:hint="eastAsia" w:ascii="Tahoma" w:hAnsi="Tahoma" w:eastAsia="Tahoma" w:cs="Tahoma"/>
                <w:i w:val="0"/>
                <w:iCs w:val="0"/>
                <w:color w:val="000000"/>
                <w:sz w:val="28"/>
                <w:szCs w:val="28"/>
                <w:u w:val="none"/>
              </w:rPr>
            </w:pPr>
          </w:p>
        </w:tc>
        <w:tc>
          <w:tcPr>
            <w:tcW w:w="1595" w:type="dxa"/>
            <w:tcBorders>
              <w:top w:val="nil"/>
              <w:left w:val="nil"/>
              <w:bottom w:val="nil"/>
              <w:right w:val="nil"/>
            </w:tcBorders>
            <w:shd w:val="clear" w:color="auto" w:fill="auto"/>
            <w:noWrap/>
            <w:vAlign w:val="bottom"/>
          </w:tcPr>
          <w:p>
            <w:pPr>
              <w:rPr>
                <w:rFonts w:hint="default" w:ascii="Tahoma" w:hAnsi="Tahoma" w:eastAsia="Tahoma" w:cs="Tahoma"/>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7" w:hRule="atLeast"/>
        </w:trPr>
        <w:tc>
          <w:tcPr>
            <w:tcW w:w="8639" w:type="dxa"/>
            <w:gridSpan w:val="5"/>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劳务队提供用料清单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2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14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规格型号</w:t>
            </w:r>
          </w:p>
        </w:tc>
        <w:tc>
          <w:tcPr>
            <w:tcW w:w="1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计量单位</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脱模剂</w:t>
            </w:r>
          </w:p>
        </w:tc>
        <w:tc>
          <w:tcPr>
            <w:tcW w:w="14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ahoma" w:hAnsi="Tahoma" w:eastAsia="Tahoma" w:cs="Tahoma"/>
                <w:i w:val="0"/>
                <w:iCs w:val="0"/>
                <w:color w:val="000000"/>
                <w:kern w:val="2"/>
                <w:sz w:val="24"/>
                <w:szCs w:val="24"/>
                <w:u w:val="none"/>
                <w:lang w:val="en-US" w:eastAsia="zh-CN" w:bidi="ar-SA"/>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公斤</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ahoma" w:hAnsi="Tahoma" w:eastAsia="Tahoma" w:cs="Tahoma"/>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座浆料</w:t>
            </w:r>
          </w:p>
        </w:tc>
        <w:tc>
          <w:tcPr>
            <w:tcW w:w="14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kern w:val="2"/>
                <w:sz w:val="24"/>
                <w:szCs w:val="24"/>
                <w:u w:val="none"/>
                <w:lang w:val="en-US" w:eastAsia="zh-CN" w:bidi="ar-SA"/>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公斤</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超渗透裂缝修补剂</w:t>
            </w:r>
          </w:p>
        </w:tc>
        <w:tc>
          <w:tcPr>
            <w:tcW w:w="14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ahoma" w:hAnsi="Tahoma" w:eastAsia="Tahoma" w:cs="Tahoma"/>
                <w:i w:val="0"/>
                <w:iCs w:val="0"/>
                <w:color w:val="000000"/>
                <w:kern w:val="2"/>
                <w:sz w:val="24"/>
                <w:szCs w:val="24"/>
                <w:u w:val="none"/>
                <w:lang w:val="en-US" w:eastAsia="zh-CN" w:bidi="ar-SA"/>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千克</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泼胶球</w:t>
            </w:r>
          </w:p>
        </w:tc>
        <w:tc>
          <w:tcPr>
            <w:tcW w:w="14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5</w:t>
            </w:r>
          </w:p>
        </w:tc>
        <w:tc>
          <w:tcPr>
            <w:tcW w:w="2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压铁螺栓</w:t>
            </w:r>
          </w:p>
        </w:tc>
        <w:tc>
          <w:tcPr>
            <w:tcW w:w="14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6</w:t>
            </w:r>
          </w:p>
        </w:tc>
        <w:tc>
          <w:tcPr>
            <w:tcW w:w="2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穿线管（对拉螺栓）</w:t>
            </w:r>
          </w:p>
        </w:tc>
        <w:tc>
          <w:tcPr>
            <w:tcW w:w="14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7</w:t>
            </w:r>
          </w:p>
        </w:tc>
        <w:tc>
          <w:tcPr>
            <w:tcW w:w="2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黑水泥</w:t>
            </w:r>
          </w:p>
        </w:tc>
        <w:tc>
          <w:tcPr>
            <w:tcW w:w="14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公斤</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8</w:t>
            </w:r>
          </w:p>
        </w:tc>
        <w:tc>
          <w:tcPr>
            <w:tcW w:w="2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白水泥</w:t>
            </w:r>
          </w:p>
        </w:tc>
        <w:tc>
          <w:tcPr>
            <w:tcW w:w="14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公斤</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9</w:t>
            </w:r>
          </w:p>
        </w:tc>
        <w:tc>
          <w:tcPr>
            <w:tcW w:w="2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混凝土修补膏</w:t>
            </w:r>
          </w:p>
        </w:tc>
        <w:tc>
          <w:tcPr>
            <w:tcW w:w="14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ahoma" w:hAnsi="Tahoma" w:eastAsia="Tahoma" w:cs="Tahoma"/>
                <w:i w:val="0"/>
                <w:iCs w:val="0"/>
                <w:color w:val="000000"/>
                <w:kern w:val="2"/>
                <w:sz w:val="24"/>
                <w:szCs w:val="24"/>
                <w:u w:val="none"/>
                <w:lang w:val="en-US" w:eastAsia="zh-CN" w:bidi="ar-SA"/>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千克</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0</w:t>
            </w:r>
          </w:p>
        </w:tc>
        <w:tc>
          <w:tcPr>
            <w:tcW w:w="2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色差处理底料</w:t>
            </w:r>
          </w:p>
        </w:tc>
        <w:tc>
          <w:tcPr>
            <w:tcW w:w="14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ahoma" w:hAnsi="Tahoma" w:eastAsia="Tahoma" w:cs="Tahoma"/>
                <w:i w:val="0"/>
                <w:iCs w:val="0"/>
                <w:color w:val="000000"/>
                <w:kern w:val="2"/>
                <w:sz w:val="24"/>
                <w:szCs w:val="24"/>
                <w:u w:val="none"/>
                <w:lang w:val="en-US" w:eastAsia="zh-CN" w:bidi="ar-SA"/>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组</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1</w:t>
            </w:r>
          </w:p>
        </w:tc>
        <w:tc>
          <w:tcPr>
            <w:tcW w:w="2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密封胶带</w:t>
            </w:r>
          </w:p>
        </w:tc>
        <w:tc>
          <w:tcPr>
            <w:tcW w:w="14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ahoma" w:hAnsi="Tahoma" w:eastAsia="Tahoma" w:cs="Tahoma"/>
                <w:i w:val="0"/>
                <w:iCs w:val="0"/>
                <w:color w:val="000000"/>
                <w:kern w:val="2"/>
                <w:sz w:val="24"/>
                <w:szCs w:val="24"/>
                <w:u w:val="none"/>
                <w:lang w:val="en-US" w:eastAsia="zh-CN" w:bidi="ar-SA"/>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卷</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2</w:t>
            </w:r>
          </w:p>
        </w:tc>
        <w:tc>
          <w:tcPr>
            <w:tcW w:w="2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扫把</w:t>
            </w:r>
          </w:p>
        </w:tc>
        <w:tc>
          <w:tcPr>
            <w:tcW w:w="14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kern w:val="2"/>
                <w:sz w:val="24"/>
                <w:szCs w:val="24"/>
                <w:u w:val="none"/>
                <w:lang w:val="en-US" w:eastAsia="zh-CN" w:bidi="ar-SA"/>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把</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3</w:t>
            </w:r>
          </w:p>
        </w:tc>
        <w:tc>
          <w:tcPr>
            <w:tcW w:w="2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环卫扫把</w:t>
            </w:r>
          </w:p>
        </w:tc>
        <w:tc>
          <w:tcPr>
            <w:tcW w:w="14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kern w:val="2"/>
                <w:sz w:val="24"/>
                <w:szCs w:val="24"/>
                <w:u w:val="none"/>
                <w:lang w:val="en-US" w:eastAsia="zh-CN" w:bidi="ar-SA"/>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把</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4</w:t>
            </w:r>
          </w:p>
        </w:tc>
        <w:tc>
          <w:tcPr>
            <w:tcW w:w="2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吊牌</w:t>
            </w:r>
          </w:p>
        </w:tc>
        <w:tc>
          <w:tcPr>
            <w:tcW w:w="14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ahoma" w:hAnsi="Tahoma" w:eastAsia="Tahoma" w:cs="Tahoma"/>
                <w:i w:val="0"/>
                <w:iCs w:val="0"/>
                <w:color w:val="000000"/>
                <w:kern w:val="2"/>
                <w:sz w:val="24"/>
                <w:szCs w:val="24"/>
                <w:u w:val="none"/>
                <w:lang w:val="en-US" w:eastAsia="zh-CN" w:bidi="ar-SA"/>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张</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5</w:t>
            </w:r>
          </w:p>
        </w:tc>
        <w:tc>
          <w:tcPr>
            <w:tcW w:w="2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塑料扎带</w:t>
            </w:r>
          </w:p>
        </w:tc>
        <w:tc>
          <w:tcPr>
            <w:tcW w:w="14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ahoma" w:hAnsi="Tahoma" w:eastAsia="Tahoma" w:cs="Tahoma"/>
                <w:i w:val="0"/>
                <w:iCs w:val="0"/>
                <w:color w:val="000000"/>
                <w:kern w:val="2"/>
                <w:sz w:val="24"/>
                <w:szCs w:val="24"/>
                <w:u w:val="none"/>
                <w:lang w:val="en-US" w:eastAsia="zh-CN" w:bidi="ar-SA"/>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袋</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6</w:t>
            </w:r>
          </w:p>
        </w:tc>
        <w:tc>
          <w:tcPr>
            <w:tcW w:w="2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电池</w:t>
            </w:r>
          </w:p>
        </w:tc>
        <w:tc>
          <w:tcPr>
            <w:tcW w:w="14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ahoma" w:hAnsi="Tahoma" w:eastAsia="Tahoma" w:cs="Tahoma"/>
                <w:i w:val="0"/>
                <w:iCs w:val="0"/>
                <w:color w:val="000000"/>
                <w:kern w:val="2"/>
                <w:sz w:val="24"/>
                <w:szCs w:val="24"/>
                <w:u w:val="none"/>
                <w:lang w:val="en-US" w:eastAsia="zh-CN" w:bidi="ar-SA"/>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节</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ahoma" w:hAnsi="Tahoma" w:eastAsia="Tahoma" w:cs="Tahoma"/>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7</w:t>
            </w:r>
          </w:p>
        </w:tc>
        <w:tc>
          <w:tcPr>
            <w:tcW w:w="2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扎丝</w:t>
            </w:r>
          </w:p>
        </w:tc>
        <w:tc>
          <w:tcPr>
            <w:tcW w:w="14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ahoma" w:hAnsi="Tahoma" w:eastAsia="Tahoma" w:cs="Tahoma"/>
                <w:i w:val="0"/>
                <w:iCs w:val="0"/>
                <w:color w:val="000000"/>
                <w:kern w:val="2"/>
                <w:sz w:val="24"/>
                <w:szCs w:val="24"/>
                <w:u w:val="none"/>
                <w:lang w:val="en-US" w:eastAsia="zh-CN" w:bidi="ar-SA"/>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捆</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ahoma" w:hAnsi="Tahoma" w:eastAsia="Tahoma" w:cs="Tahoma"/>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8</w:t>
            </w:r>
          </w:p>
        </w:tc>
        <w:tc>
          <w:tcPr>
            <w:tcW w:w="2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养护薄膜</w:t>
            </w:r>
          </w:p>
        </w:tc>
        <w:tc>
          <w:tcPr>
            <w:tcW w:w="14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kern w:val="2"/>
                <w:sz w:val="24"/>
                <w:szCs w:val="24"/>
                <w:u w:val="none"/>
                <w:lang w:val="en-US" w:eastAsia="zh-CN" w:bidi="ar-SA"/>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kern w:val="2"/>
                <w:sz w:val="24"/>
                <w:szCs w:val="24"/>
                <w:u w:val="none"/>
                <w:lang w:val="en-US" w:eastAsia="zh-CN" w:bidi="ar-SA"/>
              </w:rPr>
              <w:t>卷</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ahoma" w:hAnsi="Tahoma" w:eastAsia="Tahoma" w:cs="Tahoma"/>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19</w:t>
            </w:r>
          </w:p>
        </w:tc>
        <w:tc>
          <w:tcPr>
            <w:tcW w:w="2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铁丝</w:t>
            </w:r>
          </w:p>
        </w:tc>
        <w:tc>
          <w:tcPr>
            <w:tcW w:w="14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公斤</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ahoma" w:hAnsi="Tahoma" w:eastAsia="Tahoma" w:cs="Tahoma"/>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20</w:t>
            </w:r>
          </w:p>
        </w:tc>
        <w:tc>
          <w:tcPr>
            <w:tcW w:w="2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堵浆卡条等封堵用具</w:t>
            </w:r>
          </w:p>
        </w:tc>
        <w:tc>
          <w:tcPr>
            <w:tcW w:w="14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kern w:val="2"/>
                <w:sz w:val="24"/>
                <w:szCs w:val="24"/>
                <w:u w:val="none"/>
                <w:lang w:val="en-US" w:eastAsia="zh-CN" w:bidi="ar-SA"/>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ahoma" w:hAnsi="Tahoma" w:eastAsia="Tahoma" w:cs="Tahoma"/>
                <w:i w:val="0"/>
                <w:iCs w:val="0"/>
                <w:color w:val="000000"/>
                <w:sz w:val="24"/>
                <w:szCs w:val="24"/>
                <w:u w:val="none"/>
              </w:rPr>
            </w:pPr>
          </w:p>
        </w:tc>
      </w:tr>
    </w:tbl>
    <w:p>
      <w:pPr>
        <w:pStyle w:val="2"/>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（劳务队提供以上辅材但不限于此，</w:t>
      </w:r>
      <w:r>
        <w:rPr>
          <w:rFonts w:hint="eastAsia" w:ascii="宋体" w:hAnsi="宋体" w:cs="宋体"/>
          <w:i w:val="0"/>
          <w:iCs w:val="0"/>
          <w:color w:val="000000"/>
          <w:kern w:val="0"/>
          <w:sz w:val="24"/>
          <w:szCs w:val="24"/>
          <w:u w:val="none"/>
          <w:lang w:val="en-US" w:eastAsia="zh-CN" w:bidi="ar"/>
        </w:rPr>
        <w:t>具体</w:t>
      </w:r>
      <w:r>
        <w:rPr>
          <w:rFonts w:hint="eastAsia" w:ascii="宋体" w:hAnsi="宋体" w:eastAsia="宋体" w:cs="宋体"/>
          <w:i w:val="0"/>
          <w:iCs w:val="0"/>
          <w:color w:val="000000"/>
          <w:kern w:val="0"/>
          <w:sz w:val="24"/>
          <w:szCs w:val="24"/>
          <w:u w:val="none"/>
          <w:lang w:val="en-US" w:eastAsia="zh-CN" w:bidi="ar"/>
        </w:rPr>
        <w:t>以实际生产所需为准）</w:t>
      </w:r>
    </w:p>
    <w:p>
      <w:pPr>
        <w:rPr>
          <w:rFonts w:hint="eastAsia" w:ascii="宋体" w:hAnsi="宋体" w:eastAsia="宋体" w:cs="宋体"/>
          <w:i w:val="0"/>
          <w:iCs w:val="0"/>
          <w:color w:val="000000"/>
          <w:kern w:val="0"/>
          <w:sz w:val="24"/>
          <w:szCs w:val="24"/>
          <w:u w:val="none"/>
          <w:lang w:val="en-US" w:eastAsia="zh-CN" w:bidi="ar"/>
        </w:rPr>
      </w:pPr>
    </w:p>
    <w:p>
      <w:pPr>
        <w:pStyle w:val="2"/>
        <w:rPr>
          <w:rFonts w:hint="eastAsia"/>
          <w:lang w:val="zh-CN"/>
        </w:rPr>
      </w:pPr>
    </w:p>
    <w:p>
      <w:pPr>
        <w:spacing w:line="500" w:lineRule="exact"/>
        <w:ind w:firstLine="602" w:firstLineChars="200"/>
        <w:rPr>
          <w:rFonts w:ascii="宋体" w:hAnsi="宋体" w:cs="宋体"/>
          <w:b/>
          <w:bCs/>
          <w:sz w:val="30"/>
          <w:szCs w:val="30"/>
        </w:rPr>
      </w:pPr>
      <w:r>
        <w:rPr>
          <w:rFonts w:hint="eastAsia" w:ascii="宋体" w:hAnsi="宋体" w:cs="宋体"/>
          <w:b/>
          <w:bCs/>
          <w:sz w:val="30"/>
          <w:szCs w:val="30"/>
        </w:rPr>
        <w:t>四、竞价保证金、合同履约保证金</w:t>
      </w:r>
    </w:p>
    <w:p>
      <w:pPr>
        <w:ind w:firstLine="480" w:firstLineChars="200"/>
        <w:rPr>
          <w:rFonts w:hint="eastAsia" w:asciiTheme="minorEastAsia" w:hAnsiTheme="minorEastAsia" w:eastAsiaTheme="minorEastAsia" w:cstheme="minorEastAsia"/>
          <w:kern w:val="0"/>
          <w:sz w:val="24"/>
          <w:lang w:val="en-US" w:eastAsia="zh-CN"/>
        </w:rPr>
      </w:pPr>
      <w:r>
        <w:rPr>
          <w:rFonts w:hint="eastAsia" w:asciiTheme="minorEastAsia" w:hAnsiTheme="minorEastAsia" w:eastAsiaTheme="minorEastAsia" w:cstheme="minorEastAsia"/>
          <w:kern w:val="0"/>
          <w:sz w:val="24"/>
          <w:lang w:val="zh-CN"/>
        </w:rPr>
        <w:t>1.竞价保证金：报价人在送达竞价书前，应向采购人交付竞价保证金：标段一竞价保证金</w:t>
      </w:r>
      <w:r>
        <w:rPr>
          <w:rFonts w:hint="eastAsia" w:asciiTheme="minorEastAsia" w:hAnsiTheme="minorEastAsia" w:eastAsiaTheme="minorEastAsia" w:cstheme="minorEastAsia"/>
          <w:kern w:val="0"/>
          <w:sz w:val="24"/>
          <w:highlight w:val="yellow"/>
          <w:lang w:val="zh-CN"/>
        </w:rPr>
        <w:t>1000.00</w:t>
      </w:r>
      <w:r>
        <w:rPr>
          <w:rFonts w:hint="eastAsia" w:asciiTheme="minorEastAsia" w:hAnsiTheme="minorEastAsia" w:eastAsiaTheme="minorEastAsia" w:cstheme="minorEastAsia"/>
          <w:kern w:val="0"/>
          <w:sz w:val="24"/>
          <w:lang w:val="zh-CN"/>
        </w:rPr>
        <w:t xml:space="preserve"> 元，标段二竞价保证金</w:t>
      </w:r>
      <w:r>
        <w:rPr>
          <w:rFonts w:hint="eastAsia" w:asciiTheme="minorEastAsia" w:hAnsiTheme="minorEastAsia" w:eastAsiaTheme="minorEastAsia" w:cstheme="minorEastAsia"/>
          <w:kern w:val="0"/>
          <w:sz w:val="24"/>
          <w:highlight w:val="yellow"/>
          <w:lang w:val="zh-CN"/>
        </w:rPr>
        <w:t>1000.00</w:t>
      </w:r>
      <w:r>
        <w:rPr>
          <w:rFonts w:hint="eastAsia" w:asciiTheme="minorEastAsia" w:hAnsiTheme="minorEastAsia" w:eastAsiaTheme="minorEastAsia" w:cstheme="minorEastAsia"/>
          <w:kern w:val="0"/>
          <w:sz w:val="24"/>
          <w:lang w:val="zh-CN"/>
        </w:rPr>
        <w:t xml:space="preserve"> 元。未按规定交纳上述费用，采购人将视为非响应性竞价而予以拒绝 ，并取消竞价资格。未中选单位的竞价保证金，将在竞价结束后10个工作日内无息退还；中选单位的竞价保证金在签订合同时直接转为履约保证金，剩余</w:t>
      </w:r>
      <w:r>
        <w:rPr>
          <w:rFonts w:hint="eastAsia" w:asciiTheme="minorEastAsia" w:hAnsiTheme="minorEastAsia" w:eastAsiaTheme="minorEastAsia" w:cstheme="minorEastAsia"/>
          <w:kern w:val="0"/>
          <w:sz w:val="24"/>
          <w:highlight w:val="yellow"/>
          <w:lang w:val="en-US" w:eastAsia="zh-CN"/>
        </w:rPr>
        <w:t>19</w:t>
      </w:r>
      <w:r>
        <w:rPr>
          <w:rFonts w:hint="eastAsia" w:asciiTheme="minorEastAsia" w:hAnsiTheme="minorEastAsia" w:eastAsiaTheme="minorEastAsia" w:cstheme="minorEastAsia"/>
          <w:kern w:val="0"/>
          <w:sz w:val="24"/>
          <w:highlight w:val="yellow"/>
          <w:lang w:val="zh-CN"/>
        </w:rPr>
        <w:t>000.00</w:t>
      </w:r>
      <w:r>
        <w:rPr>
          <w:rFonts w:hint="eastAsia" w:asciiTheme="minorEastAsia" w:hAnsiTheme="minorEastAsia" w:eastAsiaTheme="minorEastAsia" w:cstheme="minorEastAsia"/>
          <w:kern w:val="0"/>
          <w:sz w:val="24"/>
          <w:lang w:val="zh-CN"/>
        </w:rPr>
        <w:t>元签订合同前补齐，共计</w:t>
      </w:r>
      <w:r>
        <w:rPr>
          <w:rFonts w:hint="eastAsia" w:asciiTheme="minorEastAsia" w:hAnsiTheme="minorEastAsia" w:eastAsiaTheme="minorEastAsia" w:cstheme="minorEastAsia"/>
          <w:kern w:val="0"/>
          <w:sz w:val="24"/>
          <w:highlight w:val="yellow"/>
          <w:lang w:val="en-US" w:eastAsia="zh-CN"/>
        </w:rPr>
        <w:t>10</w:t>
      </w:r>
      <w:r>
        <w:rPr>
          <w:rFonts w:hint="eastAsia" w:asciiTheme="minorEastAsia" w:hAnsiTheme="minorEastAsia" w:eastAsiaTheme="minorEastAsia" w:cstheme="minorEastAsia"/>
          <w:kern w:val="0"/>
          <w:sz w:val="24"/>
          <w:highlight w:val="yellow"/>
          <w:lang w:val="zh-CN"/>
        </w:rPr>
        <w:t>00</w:t>
      </w:r>
      <w:r>
        <w:rPr>
          <w:rFonts w:hint="eastAsia" w:asciiTheme="minorEastAsia" w:hAnsiTheme="minorEastAsia" w:eastAsiaTheme="minorEastAsia" w:cstheme="minorEastAsia"/>
          <w:kern w:val="0"/>
          <w:sz w:val="24"/>
          <w:highlight w:val="yellow"/>
          <w:lang w:val="en-US" w:eastAsia="zh-CN"/>
        </w:rPr>
        <w:t>0</w:t>
      </w:r>
      <w:r>
        <w:rPr>
          <w:rFonts w:hint="eastAsia" w:asciiTheme="minorEastAsia" w:hAnsiTheme="minorEastAsia" w:eastAsiaTheme="minorEastAsia" w:cstheme="minorEastAsia"/>
          <w:kern w:val="0"/>
          <w:sz w:val="24"/>
          <w:highlight w:val="yellow"/>
          <w:lang w:val="zh-CN"/>
        </w:rPr>
        <w:t>0.00</w:t>
      </w:r>
      <w:r>
        <w:rPr>
          <w:rFonts w:hint="eastAsia" w:asciiTheme="minorEastAsia" w:hAnsiTheme="minorEastAsia" w:eastAsiaTheme="minorEastAsia" w:cstheme="minorEastAsia"/>
          <w:kern w:val="0"/>
          <w:sz w:val="24"/>
          <w:lang w:val="zh-CN"/>
        </w:rPr>
        <w:t>元合同履约保证金</w:t>
      </w:r>
      <w:r>
        <w:rPr>
          <w:rFonts w:hint="eastAsia" w:asciiTheme="minorEastAsia" w:hAnsiTheme="minorEastAsia" w:eastAsiaTheme="minorEastAsia" w:cstheme="minorEastAsia"/>
          <w:kern w:val="0"/>
          <w:sz w:val="24"/>
          <w:lang w:val="en-US" w:eastAsia="zh-CN"/>
        </w:rPr>
        <w:t>(标段一、标段二履约保证金均为100000.00元)。</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如发生下列情况之一，竞价保证金将不予退还：</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（1）报价人在竞价截止日期后要求撤回竞价文件的；</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（2）中选单位不按采购人的中选通知要求来签订劳务合同；</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（3）在竞价过程中进行串通等不正当活动被查实的；</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（4）报价人以各种方式对评选小组成员施加影响被查实的；</w:t>
      </w:r>
    </w:p>
    <w:p>
      <w:pPr>
        <w:ind w:firstLine="480" w:firstLineChars="200"/>
        <w:rPr>
          <w:rFonts w:asciiTheme="minorEastAsia" w:hAnsiTheme="minorEastAsia" w:eastAsiaTheme="minorEastAsia" w:cstheme="minorEastAsia"/>
          <w:kern w:val="0"/>
          <w:sz w:val="24"/>
          <w:lang w:val="zh-CN"/>
        </w:rPr>
      </w:pPr>
    </w:p>
    <w:p>
      <w:pPr>
        <w:adjustRightInd w:val="0"/>
        <w:snapToGrid w:val="0"/>
        <w:spacing w:line="360" w:lineRule="auto"/>
        <w:ind w:firstLine="301" w:firstLineChars="100"/>
        <w:rPr>
          <w:rFonts w:ascii="宋体" w:hAnsi="宋体" w:cs="宋体"/>
          <w:b/>
          <w:bCs/>
          <w:sz w:val="30"/>
          <w:szCs w:val="30"/>
        </w:rPr>
      </w:pPr>
      <w:r>
        <w:rPr>
          <w:rFonts w:hint="eastAsia" w:ascii="宋体" w:hAnsi="宋体" w:cs="宋体"/>
          <w:b/>
          <w:sz w:val="30"/>
          <w:szCs w:val="30"/>
        </w:rPr>
        <w:t>五、</w:t>
      </w:r>
      <w:r>
        <w:rPr>
          <w:rFonts w:hint="eastAsia" w:ascii="宋体" w:hAnsi="宋体" w:cs="宋体"/>
          <w:b/>
          <w:bCs/>
          <w:sz w:val="30"/>
          <w:szCs w:val="30"/>
        </w:rPr>
        <w:t>报价文件的组成</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1、报价单【按竞价内容格式填报】；</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2、提供报价人的营业执照复印件、法定代表人授权委托书；</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3、提供报价人的企业资质；</w:t>
      </w:r>
    </w:p>
    <w:p>
      <w:pPr>
        <w:adjustRightInd w:val="0"/>
        <w:snapToGrid w:val="0"/>
        <w:spacing w:line="360" w:lineRule="auto"/>
        <w:ind w:firstLine="301" w:firstLineChars="100"/>
        <w:rPr>
          <w:rFonts w:ascii="宋体" w:hAnsi="宋体" w:cs="宋体"/>
          <w:b/>
          <w:bCs/>
          <w:sz w:val="30"/>
          <w:szCs w:val="30"/>
        </w:rPr>
      </w:pPr>
      <w:r>
        <w:rPr>
          <w:rFonts w:hint="eastAsia" w:ascii="宋体" w:hAnsi="宋体" w:cs="宋体"/>
          <w:b/>
          <w:bCs/>
          <w:sz w:val="30"/>
          <w:szCs w:val="30"/>
        </w:rPr>
        <w:t>六、报价文件的份数、签署、密封递交</w:t>
      </w:r>
    </w:p>
    <w:p>
      <w:pPr>
        <w:tabs>
          <w:tab w:val="left" w:pos="1036"/>
        </w:tabs>
        <w:adjustRightInd w:val="0"/>
        <w:snapToGrid w:val="0"/>
        <w:spacing w:line="360" w:lineRule="auto"/>
        <w:ind w:firstLine="480" w:firstLineChars="200"/>
        <w:rPr>
          <w:rFonts w:ascii="宋体" w:hAnsi="宋体" w:cs="宋体"/>
          <w:color w:val="FF0000"/>
          <w:sz w:val="24"/>
        </w:rPr>
      </w:pPr>
      <w:r>
        <w:rPr>
          <w:rFonts w:hint="eastAsia" w:ascii="宋体" w:hAnsi="宋体" w:cs="宋体"/>
          <w:sz w:val="24"/>
        </w:rPr>
        <w:t xml:space="preserve">1、报价文件必须胶装，一正二副，不胶装作废标处理。 </w:t>
      </w:r>
      <w:r>
        <w:rPr>
          <w:rFonts w:hint="eastAsia" w:ascii="宋体" w:hAnsi="宋体" w:cs="宋体"/>
          <w:color w:val="FF0000"/>
          <w:sz w:val="24"/>
        </w:rPr>
        <w:t xml:space="preserve"> </w:t>
      </w:r>
    </w:p>
    <w:p>
      <w:pPr>
        <w:tabs>
          <w:tab w:val="left" w:pos="1036"/>
        </w:tabs>
        <w:adjustRightInd w:val="0"/>
        <w:snapToGrid w:val="0"/>
        <w:spacing w:line="360" w:lineRule="auto"/>
        <w:ind w:firstLine="480" w:firstLineChars="200"/>
        <w:rPr>
          <w:rFonts w:ascii="宋体" w:hAnsi="宋体" w:cs="宋体"/>
          <w:sz w:val="24"/>
        </w:rPr>
      </w:pPr>
      <w:r>
        <w:rPr>
          <w:rFonts w:hint="eastAsia" w:ascii="宋体" w:hAnsi="宋体" w:cs="宋体"/>
          <w:sz w:val="24"/>
        </w:rPr>
        <w:t>2、报价文件有需要盖章或签署的部分，应由报价人法定代表人或其授权的代理人亲自签署或盖印鉴，并加盖法人单位公章。</w:t>
      </w:r>
    </w:p>
    <w:p>
      <w:pPr>
        <w:tabs>
          <w:tab w:val="left" w:pos="1036"/>
        </w:tabs>
        <w:adjustRightInd w:val="0"/>
        <w:snapToGrid w:val="0"/>
        <w:spacing w:line="360" w:lineRule="auto"/>
        <w:ind w:firstLine="480" w:firstLineChars="200"/>
        <w:rPr>
          <w:rFonts w:ascii="宋体" w:hAnsi="宋体" w:cs="宋体"/>
          <w:sz w:val="24"/>
        </w:rPr>
      </w:pPr>
      <w:r>
        <w:rPr>
          <w:rFonts w:hint="eastAsia" w:ascii="宋体" w:hAnsi="宋体" w:cs="宋体"/>
          <w:sz w:val="24"/>
        </w:rPr>
        <w:t>3、报价人应递交密封的报价文件，无密封的报价文件，采购人将拒绝接收；</w:t>
      </w:r>
    </w:p>
    <w:p>
      <w:pPr>
        <w:tabs>
          <w:tab w:val="left" w:pos="1036"/>
        </w:tabs>
        <w:adjustRightInd w:val="0"/>
        <w:snapToGrid w:val="0"/>
        <w:spacing w:line="360" w:lineRule="auto"/>
        <w:ind w:firstLine="480" w:firstLineChars="200"/>
        <w:rPr>
          <w:rFonts w:ascii="宋体" w:hAnsi="宋体" w:cs="宋体"/>
          <w:sz w:val="24"/>
        </w:rPr>
      </w:pPr>
      <w:r>
        <w:rPr>
          <w:rFonts w:hint="eastAsia" w:ascii="宋体" w:hAnsi="宋体" w:cs="宋体"/>
          <w:sz w:val="24"/>
        </w:rPr>
        <w:t>4、有如下情况之一者，报价无效：</w:t>
      </w:r>
    </w:p>
    <w:p>
      <w:pPr>
        <w:tabs>
          <w:tab w:val="left" w:pos="1036"/>
        </w:tabs>
        <w:adjustRightInd w:val="0"/>
        <w:snapToGrid w:val="0"/>
        <w:spacing w:line="360" w:lineRule="auto"/>
        <w:ind w:firstLine="480" w:firstLineChars="200"/>
        <w:rPr>
          <w:rFonts w:ascii="宋体" w:hAnsi="宋体" w:cs="宋体"/>
          <w:sz w:val="24"/>
        </w:rPr>
      </w:pPr>
      <w:r>
        <w:rPr>
          <w:rFonts w:hint="eastAsia" w:ascii="宋体" w:hAnsi="宋体" w:cs="宋体"/>
          <w:sz w:val="24"/>
        </w:rPr>
        <w:t>（1）报价文件未密封和未盖骑缝章；</w:t>
      </w:r>
    </w:p>
    <w:p>
      <w:pPr>
        <w:tabs>
          <w:tab w:val="left" w:pos="1036"/>
        </w:tabs>
        <w:adjustRightInd w:val="0"/>
        <w:snapToGrid w:val="0"/>
        <w:spacing w:line="360" w:lineRule="auto"/>
        <w:ind w:firstLine="480" w:firstLineChars="200"/>
        <w:rPr>
          <w:rFonts w:ascii="宋体" w:hAnsi="宋体" w:cs="宋体"/>
          <w:sz w:val="24"/>
        </w:rPr>
      </w:pPr>
      <w:r>
        <w:rPr>
          <w:rFonts w:hint="eastAsia" w:ascii="宋体" w:hAnsi="宋体" w:cs="宋体"/>
          <w:sz w:val="24"/>
        </w:rPr>
        <w:t>（2）没有提供营业执照复印件、法人代表授权委托书，或未加盖单位公章；</w:t>
      </w:r>
    </w:p>
    <w:p>
      <w:pPr>
        <w:tabs>
          <w:tab w:val="left" w:pos="1036"/>
        </w:tabs>
        <w:adjustRightInd w:val="0"/>
        <w:snapToGrid w:val="0"/>
        <w:spacing w:line="360" w:lineRule="auto"/>
        <w:ind w:firstLine="480" w:firstLineChars="200"/>
        <w:rPr>
          <w:rFonts w:ascii="宋体" w:hAnsi="宋体" w:cs="宋体"/>
          <w:sz w:val="24"/>
        </w:rPr>
      </w:pPr>
      <w:r>
        <w:rPr>
          <w:rFonts w:hint="eastAsia" w:ascii="宋体" w:hAnsi="宋体" w:cs="宋体"/>
          <w:sz w:val="24"/>
        </w:rPr>
        <w:t>（3）提供虚假的资质等资料。</w:t>
      </w:r>
    </w:p>
    <w:p>
      <w:pPr>
        <w:adjustRightInd w:val="0"/>
        <w:snapToGrid w:val="0"/>
        <w:spacing w:line="360" w:lineRule="auto"/>
        <w:ind w:firstLine="602" w:firstLineChars="200"/>
        <w:rPr>
          <w:rFonts w:ascii="宋体" w:hAnsi="宋体" w:cs="宋体"/>
          <w:b/>
          <w:bCs/>
          <w:sz w:val="30"/>
          <w:szCs w:val="30"/>
        </w:rPr>
      </w:pPr>
      <w:r>
        <w:rPr>
          <w:rFonts w:hint="eastAsia" w:ascii="宋体" w:hAnsi="宋体" w:cs="宋体"/>
          <w:b/>
          <w:bCs/>
          <w:sz w:val="30"/>
          <w:szCs w:val="30"/>
        </w:rPr>
        <w:t>七、评选</w:t>
      </w:r>
    </w:p>
    <w:p>
      <w:pPr>
        <w:tabs>
          <w:tab w:val="left" w:pos="1036"/>
        </w:tabs>
        <w:adjustRightInd w:val="0"/>
        <w:snapToGrid w:val="0"/>
        <w:spacing w:line="500" w:lineRule="exact"/>
        <w:ind w:firstLine="480" w:firstLineChars="200"/>
        <w:rPr>
          <w:rFonts w:ascii="宋体" w:hAnsi="宋体" w:cs="宋体"/>
          <w:sz w:val="24"/>
        </w:rPr>
      </w:pPr>
      <w:r>
        <w:rPr>
          <w:rFonts w:hint="eastAsia" w:ascii="宋体" w:hAnsi="宋体" w:cs="宋体"/>
          <w:sz w:val="24"/>
        </w:rPr>
        <w:t>1、采购单位在收到报价文件后，自行组织评选委员会和评选人员评选，评选人员将按竞价文件的规定对评选情况进行真实记录。</w:t>
      </w:r>
    </w:p>
    <w:p>
      <w:pPr>
        <w:spacing w:line="500" w:lineRule="exact"/>
        <w:ind w:firstLine="480" w:firstLineChars="200"/>
        <w:rPr>
          <w:rFonts w:ascii="宋体" w:hAnsi="宋体" w:cs="宋体"/>
          <w:sz w:val="24"/>
        </w:rPr>
      </w:pPr>
      <w:r>
        <w:rPr>
          <w:rFonts w:hint="eastAsia" w:ascii="宋体" w:hAnsi="宋体" w:cs="宋体"/>
          <w:sz w:val="24"/>
        </w:rPr>
        <w:t>2、</w:t>
      </w:r>
      <w:r>
        <w:rPr>
          <w:rFonts w:hint="eastAsia" w:ascii="宋体" w:hAnsi="宋体" w:cs="宋体"/>
          <w:sz w:val="24"/>
          <w:highlight w:val="none"/>
        </w:rPr>
        <w:t>评选办法为：根据报价人报价情况，对报价人</w:t>
      </w:r>
      <w:r>
        <w:rPr>
          <w:rFonts w:hint="eastAsia" w:ascii="宋体" w:hAnsi="宋体" w:cs="宋体"/>
          <w:sz w:val="24"/>
          <w:highlight w:val="none"/>
          <w:lang w:eastAsia="zh-CN"/>
        </w:rPr>
        <w:t>最终</w:t>
      </w:r>
      <w:r>
        <w:rPr>
          <w:rFonts w:hint="eastAsia" w:ascii="宋体" w:hAnsi="宋体" w:cs="宋体"/>
          <w:sz w:val="24"/>
          <w:highlight w:val="none"/>
        </w:rPr>
        <w:t>报价由低到高进行排序，合理最低价为中选单位。</w:t>
      </w:r>
      <w:r>
        <w:rPr>
          <w:rFonts w:hint="eastAsia" w:ascii="宋体" w:hAnsi="宋体" w:cs="宋体"/>
          <w:sz w:val="24"/>
        </w:rPr>
        <w:t>如因中选候选人的原因被取消中选资格，将按照中选候选人排序依次递补确定中选人或选择重新竞价。</w:t>
      </w:r>
    </w:p>
    <w:p>
      <w:pPr>
        <w:spacing w:line="500" w:lineRule="exact"/>
        <w:ind w:firstLine="480" w:firstLineChars="200"/>
        <w:rPr>
          <w:rFonts w:hint="eastAsia" w:ascii="宋体" w:hAnsi="宋体" w:cs="宋体"/>
          <w:sz w:val="24"/>
        </w:rPr>
      </w:pPr>
      <w:r>
        <w:rPr>
          <w:rFonts w:hint="eastAsia" w:ascii="宋体" w:hAnsi="宋体" w:cs="宋体"/>
          <w:sz w:val="24"/>
        </w:rPr>
        <w:t>3、本竞价文件的解释权属于安徽中冶淮海装配式建筑有限公司所有。</w:t>
      </w:r>
    </w:p>
    <w:p>
      <w:pPr>
        <w:pStyle w:val="7"/>
        <w:spacing w:line="500" w:lineRule="exact"/>
        <w:rPr>
          <w:rFonts w:hint="eastAsia"/>
        </w:rPr>
      </w:pPr>
    </w:p>
    <w:p>
      <w:pPr>
        <w:spacing w:line="360" w:lineRule="auto"/>
        <w:ind w:firstLine="602" w:firstLineChars="200"/>
        <w:rPr>
          <w:rStyle w:val="25"/>
          <w:b/>
          <w:bCs/>
          <w:sz w:val="30"/>
          <w:szCs w:val="30"/>
        </w:rPr>
      </w:pPr>
    </w:p>
    <w:p>
      <w:pPr>
        <w:spacing w:line="360" w:lineRule="auto"/>
        <w:ind w:firstLine="602" w:firstLineChars="200"/>
        <w:rPr>
          <w:rStyle w:val="25"/>
          <w:b/>
          <w:bCs/>
          <w:sz w:val="30"/>
          <w:szCs w:val="30"/>
        </w:rPr>
      </w:pPr>
    </w:p>
    <w:p>
      <w:pPr>
        <w:spacing w:line="360" w:lineRule="auto"/>
        <w:ind w:firstLine="602" w:firstLineChars="200"/>
        <w:rPr>
          <w:rStyle w:val="25"/>
          <w:b/>
          <w:bCs/>
          <w:sz w:val="30"/>
          <w:szCs w:val="30"/>
        </w:rPr>
      </w:pPr>
    </w:p>
    <w:p>
      <w:pPr>
        <w:spacing w:line="360" w:lineRule="auto"/>
        <w:ind w:firstLine="602" w:firstLineChars="200"/>
        <w:rPr>
          <w:rStyle w:val="25"/>
          <w:b/>
          <w:bCs/>
          <w:sz w:val="30"/>
          <w:szCs w:val="30"/>
        </w:rPr>
      </w:pPr>
    </w:p>
    <w:p>
      <w:pPr>
        <w:spacing w:line="360" w:lineRule="auto"/>
        <w:ind w:firstLine="602" w:firstLineChars="200"/>
        <w:rPr>
          <w:rStyle w:val="25"/>
          <w:b/>
          <w:bCs/>
          <w:sz w:val="30"/>
          <w:szCs w:val="30"/>
        </w:rPr>
      </w:pPr>
    </w:p>
    <w:p>
      <w:pPr>
        <w:spacing w:line="360" w:lineRule="auto"/>
        <w:ind w:firstLine="602" w:firstLineChars="200"/>
        <w:rPr>
          <w:rStyle w:val="25"/>
          <w:b/>
          <w:bCs/>
          <w:sz w:val="30"/>
          <w:szCs w:val="30"/>
        </w:rPr>
      </w:pPr>
    </w:p>
    <w:p>
      <w:pPr>
        <w:spacing w:line="360" w:lineRule="auto"/>
        <w:ind w:firstLine="602" w:firstLineChars="200"/>
        <w:rPr>
          <w:rStyle w:val="25"/>
          <w:b/>
          <w:bCs/>
          <w:sz w:val="30"/>
          <w:szCs w:val="30"/>
        </w:rPr>
      </w:pPr>
    </w:p>
    <w:p>
      <w:pPr>
        <w:spacing w:line="360" w:lineRule="auto"/>
        <w:ind w:firstLine="602" w:firstLineChars="200"/>
        <w:rPr>
          <w:rStyle w:val="25"/>
          <w:b/>
          <w:bCs/>
          <w:sz w:val="30"/>
          <w:szCs w:val="30"/>
        </w:rPr>
      </w:pPr>
    </w:p>
    <w:p>
      <w:pPr>
        <w:spacing w:line="360" w:lineRule="auto"/>
        <w:ind w:firstLine="602" w:firstLineChars="200"/>
        <w:rPr>
          <w:rStyle w:val="25"/>
          <w:b/>
          <w:bCs/>
          <w:sz w:val="30"/>
          <w:szCs w:val="30"/>
        </w:rPr>
      </w:pPr>
    </w:p>
    <w:p>
      <w:pPr>
        <w:spacing w:line="360" w:lineRule="auto"/>
        <w:ind w:firstLine="602" w:firstLineChars="200"/>
        <w:rPr>
          <w:rStyle w:val="25"/>
          <w:b/>
          <w:bCs/>
          <w:sz w:val="30"/>
          <w:szCs w:val="30"/>
        </w:rPr>
      </w:pPr>
    </w:p>
    <w:p>
      <w:pPr>
        <w:spacing w:line="360" w:lineRule="auto"/>
        <w:ind w:firstLine="602" w:firstLineChars="200"/>
        <w:rPr>
          <w:rStyle w:val="25"/>
          <w:b/>
          <w:bCs/>
          <w:sz w:val="30"/>
          <w:szCs w:val="30"/>
        </w:rPr>
      </w:pPr>
    </w:p>
    <w:p>
      <w:pPr>
        <w:spacing w:line="360" w:lineRule="auto"/>
        <w:ind w:firstLine="602" w:firstLineChars="200"/>
        <w:rPr>
          <w:rStyle w:val="25"/>
          <w:b/>
          <w:bCs/>
          <w:sz w:val="30"/>
          <w:szCs w:val="30"/>
        </w:rPr>
      </w:pPr>
    </w:p>
    <w:p>
      <w:pPr>
        <w:spacing w:line="360" w:lineRule="auto"/>
        <w:rPr>
          <w:rStyle w:val="25"/>
          <w:rFonts w:hint="eastAsia"/>
          <w:b/>
          <w:bCs/>
          <w:sz w:val="30"/>
          <w:szCs w:val="30"/>
        </w:rPr>
      </w:pPr>
    </w:p>
    <w:p>
      <w:pPr>
        <w:pStyle w:val="7"/>
        <w:rPr>
          <w:rStyle w:val="25"/>
          <w:rFonts w:hint="eastAsia"/>
          <w:b/>
          <w:bCs/>
          <w:sz w:val="30"/>
          <w:szCs w:val="30"/>
        </w:rPr>
      </w:pPr>
    </w:p>
    <w:p>
      <w:pPr>
        <w:pStyle w:val="7"/>
        <w:rPr>
          <w:rFonts w:hint="eastAsia"/>
        </w:rPr>
      </w:pPr>
    </w:p>
    <w:p>
      <w:pPr>
        <w:pStyle w:val="7"/>
        <w:rPr>
          <w:rFonts w:hint="eastAsia"/>
        </w:rPr>
      </w:pPr>
    </w:p>
    <w:p>
      <w:pPr>
        <w:pStyle w:val="7"/>
        <w:rPr>
          <w:rFonts w:hint="eastAsia"/>
        </w:rPr>
      </w:pPr>
    </w:p>
    <w:p>
      <w:pPr>
        <w:pStyle w:val="7"/>
        <w:rPr>
          <w:rFonts w:hint="eastAsia"/>
        </w:rPr>
      </w:pPr>
    </w:p>
    <w:p>
      <w:pPr>
        <w:pStyle w:val="7"/>
        <w:rPr>
          <w:rFonts w:hint="eastAsia"/>
        </w:rPr>
      </w:pPr>
    </w:p>
    <w:p>
      <w:pPr>
        <w:numPr>
          <w:ilvl w:val="0"/>
          <w:numId w:val="2"/>
        </w:numPr>
        <w:spacing w:line="360" w:lineRule="auto"/>
        <w:ind w:firstLine="602" w:firstLineChars="200"/>
        <w:rPr>
          <w:rStyle w:val="25"/>
          <w:rFonts w:hint="eastAsia"/>
          <w:b/>
          <w:bCs/>
          <w:sz w:val="30"/>
          <w:szCs w:val="30"/>
        </w:rPr>
      </w:pPr>
      <w:r>
        <w:rPr>
          <w:rStyle w:val="25"/>
          <w:rFonts w:hint="eastAsia"/>
          <w:b/>
          <w:bCs/>
          <w:sz w:val="30"/>
          <w:szCs w:val="30"/>
        </w:rPr>
        <w:t>报价人报价文件格式</w:t>
      </w:r>
    </w:p>
    <w:p>
      <w:pPr>
        <w:pStyle w:val="2"/>
        <w:numPr>
          <w:ilvl w:val="0"/>
          <w:numId w:val="0"/>
        </w:numPr>
        <w:jc w:val="both"/>
        <w:rPr>
          <w:rFonts w:hint="eastAsia" w:eastAsia="宋体"/>
          <w:sz w:val="28"/>
          <w:szCs w:val="15"/>
          <w:lang w:eastAsia="zh-CN"/>
        </w:rPr>
      </w:pPr>
      <w:r>
        <w:rPr>
          <w:rFonts w:hint="eastAsia"/>
          <w:sz w:val="28"/>
          <w:szCs w:val="15"/>
          <w:lang w:eastAsia="zh-CN"/>
        </w:rPr>
        <w:t>标段一</w:t>
      </w:r>
    </w:p>
    <w:p>
      <w:pPr>
        <w:jc w:val="center"/>
      </w:pPr>
      <w:r>
        <w:rPr>
          <w:rFonts w:hint="eastAsia" w:ascii="黑体" w:hAnsi="黑体" w:eastAsia="黑体" w:cs="黑体"/>
          <w:sz w:val="44"/>
          <w:szCs w:val="44"/>
        </w:rPr>
        <w:t>报 价 单</w:t>
      </w:r>
    </w:p>
    <w:p>
      <w:pPr>
        <w:rPr>
          <w:rFonts w:asciiTheme="minorEastAsia" w:hAnsiTheme="minorEastAsia"/>
          <w:sz w:val="22"/>
          <w:szCs w:val="22"/>
        </w:rPr>
      </w:pPr>
      <w:r>
        <w:rPr>
          <w:rFonts w:hint="eastAsia" w:asciiTheme="minorEastAsia" w:hAnsiTheme="minorEastAsia"/>
          <w:sz w:val="22"/>
          <w:szCs w:val="22"/>
        </w:rPr>
        <w:t>安徽中冶淮海装配式建筑有限公司：</w:t>
      </w:r>
    </w:p>
    <w:p>
      <w:pPr>
        <w:ind w:firstLine="440" w:firstLineChars="200"/>
      </w:pPr>
      <w:r>
        <w:rPr>
          <w:rFonts w:hint="eastAsia" w:asciiTheme="minorEastAsia" w:hAnsiTheme="minorEastAsia"/>
          <w:sz w:val="22"/>
          <w:szCs w:val="22"/>
        </w:rPr>
        <w:t>我单位已全面研究</w:t>
      </w:r>
      <w:r>
        <w:rPr>
          <w:rFonts w:hint="eastAsia" w:asciiTheme="minorEastAsia" w:hAnsiTheme="minorEastAsia"/>
          <w:sz w:val="22"/>
          <w:szCs w:val="22"/>
          <w:u w:val="single"/>
        </w:rPr>
        <w:t xml:space="preserve">     预制构件劳务作业    </w:t>
      </w:r>
      <w:r>
        <w:rPr>
          <w:rFonts w:hint="eastAsia" w:asciiTheme="minorEastAsia" w:hAnsiTheme="minorEastAsia"/>
          <w:sz w:val="22"/>
          <w:szCs w:val="22"/>
        </w:rPr>
        <w:t>竞价文件，并熟知竞价文件的各项规定，我方同意按竞价文件规定的全部条件进行报价，报价如下：</w:t>
      </w:r>
    </w:p>
    <w:tbl>
      <w:tblPr>
        <w:tblStyle w:val="14"/>
        <w:tblW w:w="8407" w:type="dxa"/>
        <w:jc w:val="center"/>
        <w:tblLayout w:type="fixed"/>
        <w:tblCellMar>
          <w:top w:w="0" w:type="dxa"/>
          <w:left w:w="10" w:type="dxa"/>
          <w:bottom w:w="0" w:type="dxa"/>
          <w:right w:w="10" w:type="dxa"/>
        </w:tblCellMar>
      </w:tblPr>
      <w:tblGrid>
        <w:gridCol w:w="624"/>
        <w:gridCol w:w="1884"/>
        <w:gridCol w:w="1081"/>
        <w:gridCol w:w="1193"/>
        <w:gridCol w:w="1401"/>
        <w:gridCol w:w="1112"/>
        <w:gridCol w:w="1112"/>
      </w:tblGrid>
      <w:tr>
        <w:tblPrEx>
          <w:tblCellMar>
            <w:top w:w="0" w:type="dxa"/>
            <w:left w:w="10" w:type="dxa"/>
            <w:bottom w:w="0" w:type="dxa"/>
            <w:right w:w="10" w:type="dxa"/>
          </w:tblCellMar>
        </w:tblPrEx>
        <w:trPr>
          <w:trHeight w:val="700" w:hRule="atLeast"/>
          <w:jc w:val="center"/>
        </w:trPr>
        <w:tc>
          <w:tcPr>
            <w:tcW w:w="624" w:type="dxa"/>
            <w:tcBorders>
              <w:top w:val="single" w:color="auto" w:sz="4" w:space="0"/>
              <w:left w:val="single" w:color="auto" w:sz="4" w:space="0"/>
            </w:tcBorders>
            <w:shd w:val="clear" w:color="auto" w:fill="FFFFFF"/>
            <w:vAlign w:val="center"/>
          </w:tcPr>
          <w:p>
            <w:pPr>
              <w:spacing w:line="560" w:lineRule="exact"/>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序号</w:t>
            </w:r>
          </w:p>
        </w:tc>
        <w:tc>
          <w:tcPr>
            <w:tcW w:w="1884" w:type="dxa"/>
            <w:tcBorders>
              <w:top w:val="single" w:color="auto" w:sz="4" w:space="0"/>
              <w:left w:val="single" w:color="auto" w:sz="4" w:space="0"/>
            </w:tcBorders>
            <w:shd w:val="clear" w:color="auto" w:fill="FFFFFF"/>
            <w:vAlign w:val="center"/>
          </w:tcPr>
          <w:p>
            <w:pPr>
              <w:spacing w:line="560" w:lineRule="exact"/>
              <w:ind w:firstLine="480" w:firstLineChars="200"/>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构件名称</w:t>
            </w:r>
          </w:p>
        </w:tc>
        <w:tc>
          <w:tcPr>
            <w:tcW w:w="1081" w:type="dxa"/>
            <w:tcBorders>
              <w:top w:val="single" w:color="auto" w:sz="4" w:space="0"/>
              <w:left w:val="single" w:color="auto" w:sz="4" w:space="0"/>
            </w:tcBorders>
            <w:shd w:val="clear" w:color="auto" w:fill="FFFFFF"/>
            <w:vAlign w:val="center"/>
          </w:tcPr>
          <w:p>
            <w:pPr>
              <w:spacing w:line="560" w:lineRule="exact"/>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单位</w:t>
            </w:r>
          </w:p>
        </w:tc>
        <w:tc>
          <w:tcPr>
            <w:tcW w:w="1193" w:type="dxa"/>
            <w:tcBorders>
              <w:top w:val="single" w:color="auto" w:sz="4" w:space="0"/>
              <w:left w:val="single" w:color="auto" w:sz="4" w:space="0"/>
              <w:right w:val="single" w:color="auto" w:sz="4" w:space="0"/>
            </w:tcBorders>
            <w:shd w:val="clear" w:color="auto" w:fill="FFFFFF"/>
            <w:vAlign w:val="center"/>
          </w:tcPr>
          <w:p>
            <w:pPr>
              <w:spacing w:line="400" w:lineRule="exact"/>
              <w:jc w:val="left"/>
            </w:pPr>
            <w:r>
              <w:rPr>
                <w:rFonts w:hint="eastAsia" w:asciiTheme="minorEastAsia" w:hAnsiTheme="minorEastAsia" w:eastAsiaTheme="minorEastAsia" w:cstheme="minorEastAsia"/>
                <w:kern w:val="0"/>
                <w:sz w:val="24"/>
              </w:rPr>
              <w:t>构件占比</w:t>
            </w:r>
          </w:p>
        </w:tc>
        <w:tc>
          <w:tcPr>
            <w:tcW w:w="1401" w:type="dxa"/>
            <w:tcBorders>
              <w:top w:val="single" w:color="auto" w:sz="4" w:space="0"/>
              <w:left w:val="single" w:color="auto" w:sz="4" w:space="0"/>
              <w:right w:val="single" w:color="auto" w:sz="4" w:space="0"/>
            </w:tcBorders>
            <w:shd w:val="clear" w:color="auto" w:fill="FFFFFF"/>
            <w:vAlign w:val="center"/>
          </w:tcPr>
          <w:p>
            <w:pPr>
              <w:spacing w:line="560" w:lineRule="exact"/>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控制价</w:t>
            </w:r>
          </w:p>
        </w:tc>
        <w:tc>
          <w:tcPr>
            <w:tcW w:w="1112" w:type="dxa"/>
            <w:tcBorders>
              <w:top w:val="single" w:color="auto" w:sz="4" w:space="0"/>
              <w:left w:val="single" w:color="auto" w:sz="4" w:space="0"/>
              <w:right w:val="single" w:color="auto" w:sz="4" w:space="0"/>
            </w:tcBorders>
            <w:shd w:val="clear" w:color="auto" w:fill="FFFFFF"/>
            <w:vAlign w:val="center"/>
          </w:tcPr>
          <w:p>
            <w:pPr>
              <w:spacing w:line="560" w:lineRule="exact"/>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综合报价</w:t>
            </w:r>
          </w:p>
        </w:tc>
        <w:tc>
          <w:tcPr>
            <w:tcW w:w="1112" w:type="dxa"/>
            <w:tcBorders>
              <w:top w:val="single" w:color="auto" w:sz="4" w:space="0"/>
              <w:left w:val="single" w:color="auto" w:sz="4" w:space="0"/>
              <w:right w:val="single" w:color="auto" w:sz="4" w:space="0"/>
            </w:tcBorders>
            <w:shd w:val="clear" w:color="auto" w:fill="FFFFFF"/>
          </w:tcPr>
          <w:p>
            <w:pPr>
              <w:spacing w:line="560" w:lineRule="exact"/>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16"/>
                <w:szCs w:val="16"/>
              </w:rPr>
              <w:t>综合报价</w:t>
            </w:r>
            <w:r>
              <w:rPr>
                <w:rFonts w:asciiTheme="minorEastAsia" w:hAnsiTheme="minorEastAsia" w:eastAsiaTheme="minorEastAsia" w:cstheme="minorEastAsia"/>
                <w:kern w:val="0"/>
                <w:sz w:val="16"/>
                <w:szCs w:val="16"/>
              </w:rPr>
              <w:t>*</w:t>
            </w:r>
            <w:r>
              <w:rPr>
                <w:rFonts w:hint="eastAsia" w:asciiTheme="minorEastAsia" w:hAnsiTheme="minorEastAsia" w:eastAsiaTheme="minorEastAsia" w:cstheme="minorEastAsia"/>
                <w:kern w:val="0"/>
                <w:sz w:val="16"/>
                <w:szCs w:val="16"/>
              </w:rPr>
              <w:t>构件占比</w:t>
            </w:r>
          </w:p>
        </w:tc>
      </w:tr>
      <w:tr>
        <w:tblPrEx>
          <w:tblCellMar>
            <w:top w:w="0" w:type="dxa"/>
            <w:left w:w="10" w:type="dxa"/>
            <w:bottom w:w="0" w:type="dxa"/>
            <w:right w:w="10" w:type="dxa"/>
          </w:tblCellMar>
        </w:tblPrEx>
        <w:trPr>
          <w:trHeight w:val="700" w:hRule="atLeast"/>
          <w:jc w:val="center"/>
        </w:trPr>
        <w:tc>
          <w:tcPr>
            <w:tcW w:w="624" w:type="dxa"/>
            <w:tcBorders>
              <w:top w:val="single" w:color="auto" w:sz="4" w:space="0"/>
              <w:left w:val="single" w:color="auto" w:sz="4" w:space="0"/>
            </w:tcBorders>
            <w:shd w:val="clear" w:color="auto" w:fill="FFFFFF"/>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1</w:t>
            </w:r>
          </w:p>
        </w:tc>
        <w:tc>
          <w:tcPr>
            <w:tcW w:w="1884" w:type="dxa"/>
            <w:tcBorders>
              <w:top w:val="single" w:color="auto" w:sz="4" w:space="0"/>
              <w:left w:val="single" w:color="auto" w:sz="4" w:space="0"/>
            </w:tcBorders>
            <w:shd w:val="clear" w:color="auto" w:fill="FFFFFF"/>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预制叠合板</w:t>
            </w:r>
          </w:p>
        </w:tc>
        <w:tc>
          <w:tcPr>
            <w:tcW w:w="1081" w:type="dxa"/>
            <w:tcBorders>
              <w:top w:val="single" w:color="auto" w:sz="4" w:space="0"/>
              <w:left w:val="single" w:color="auto" w:sz="4" w:space="0"/>
            </w:tcBorders>
            <w:shd w:val="clear" w:color="auto" w:fill="FFFFFF"/>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M³</w:t>
            </w:r>
          </w:p>
        </w:tc>
        <w:tc>
          <w:tcPr>
            <w:tcW w:w="1193" w:type="dxa"/>
            <w:tcBorders>
              <w:top w:val="single" w:color="auto" w:sz="4" w:space="0"/>
              <w:left w:val="single" w:color="auto" w:sz="4" w:space="0"/>
              <w:right w:val="single" w:color="auto" w:sz="4" w:space="0"/>
            </w:tcBorders>
            <w:shd w:val="clear" w:color="auto" w:fill="FFFFFF"/>
            <w:vAlign w:val="center"/>
          </w:tcPr>
          <w:p>
            <w:pPr>
              <w:spacing w:line="560" w:lineRule="exact"/>
              <w:jc w:val="center"/>
              <w:rPr>
                <w:sz w:val="28"/>
                <w:szCs w:val="36"/>
              </w:rPr>
            </w:pPr>
            <w:r>
              <w:rPr>
                <w:rFonts w:hint="eastAsia"/>
                <w:sz w:val="28"/>
                <w:szCs w:val="36"/>
                <w:lang w:val="en-US" w:eastAsia="zh-CN"/>
              </w:rPr>
              <w:t>20</w:t>
            </w:r>
            <w:r>
              <w:rPr>
                <w:rFonts w:hint="eastAsia"/>
                <w:sz w:val="28"/>
                <w:szCs w:val="36"/>
              </w:rPr>
              <w:t>%</w:t>
            </w:r>
          </w:p>
        </w:tc>
        <w:tc>
          <w:tcPr>
            <w:tcW w:w="1401" w:type="dxa"/>
            <w:tcBorders>
              <w:top w:val="single" w:color="auto" w:sz="4" w:space="0"/>
              <w:left w:val="single" w:color="auto" w:sz="4" w:space="0"/>
              <w:right w:val="single" w:color="auto" w:sz="4" w:space="0"/>
            </w:tcBorders>
            <w:shd w:val="clear" w:color="auto" w:fill="FFFFFF"/>
            <w:vAlign w:val="center"/>
          </w:tcPr>
          <w:p>
            <w:pPr>
              <w:spacing w:line="560" w:lineRule="exact"/>
              <w:ind w:firstLine="560" w:firstLineChars="200"/>
              <w:jc w:val="left"/>
              <w:rPr>
                <w:sz w:val="28"/>
                <w:szCs w:val="36"/>
              </w:rPr>
            </w:pPr>
            <w:r>
              <w:rPr>
                <w:rFonts w:hint="eastAsia"/>
                <w:sz w:val="28"/>
                <w:szCs w:val="36"/>
                <w:lang w:val="en-US" w:eastAsia="zh-CN"/>
              </w:rPr>
              <w:t>355</w:t>
            </w:r>
          </w:p>
        </w:tc>
        <w:tc>
          <w:tcPr>
            <w:tcW w:w="1112" w:type="dxa"/>
            <w:tcBorders>
              <w:top w:val="single" w:color="auto" w:sz="4" w:space="0"/>
              <w:left w:val="single" w:color="auto" w:sz="4" w:space="0"/>
              <w:right w:val="single" w:color="auto" w:sz="4" w:space="0"/>
            </w:tcBorders>
            <w:shd w:val="clear" w:color="auto" w:fill="FFFFFF"/>
            <w:vAlign w:val="center"/>
          </w:tcPr>
          <w:p>
            <w:pPr>
              <w:spacing w:line="560" w:lineRule="exact"/>
              <w:ind w:firstLine="420" w:firstLineChars="200"/>
              <w:jc w:val="left"/>
            </w:pPr>
          </w:p>
        </w:tc>
        <w:tc>
          <w:tcPr>
            <w:tcW w:w="1112" w:type="dxa"/>
            <w:tcBorders>
              <w:top w:val="single" w:color="auto" w:sz="4" w:space="0"/>
              <w:left w:val="single" w:color="auto" w:sz="4" w:space="0"/>
              <w:right w:val="single" w:color="auto" w:sz="4" w:space="0"/>
            </w:tcBorders>
            <w:shd w:val="clear" w:color="auto" w:fill="FFFFFF"/>
          </w:tcPr>
          <w:p>
            <w:pPr>
              <w:spacing w:line="560" w:lineRule="exact"/>
              <w:ind w:firstLine="420" w:firstLineChars="200"/>
              <w:jc w:val="left"/>
            </w:pPr>
          </w:p>
        </w:tc>
      </w:tr>
      <w:tr>
        <w:tblPrEx>
          <w:tblCellMar>
            <w:top w:w="0" w:type="dxa"/>
            <w:left w:w="10" w:type="dxa"/>
            <w:bottom w:w="0" w:type="dxa"/>
            <w:right w:w="10" w:type="dxa"/>
          </w:tblCellMar>
        </w:tblPrEx>
        <w:trPr>
          <w:trHeight w:val="700" w:hRule="atLeast"/>
          <w:jc w:val="center"/>
        </w:trPr>
        <w:tc>
          <w:tcPr>
            <w:tcW w:w="624" w:type="dxa"/>
            <w:tcBorders>
              <w:top w:val="single" w:color="auto" w:sz="4" w:space="0"/>
              <w:left w:val="single" w:color="auto" w:sz="4" w:space="0"/>
            </w:tcBorders>
            <w:shd w:val="clear" w:color="auto" w:fill="FFFFFF"/>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2</w:t>
            </w:r>
          </w:p>
        </w:tc>
        <w:tc>
          <w:tcPr>
            <w:tcW w:w="1884" w:type="dxa"/>
            <w:tcBorders>
              <w:top w:val="single" w:color="auto" w:sz="4" w:space="0"/>
              <w:left w:val="single" w:color="auto" w:sz="4" w:space="0"/>
            </w:tcBorders>
            <w:shd w:val="clear" w:color="auto" w:fill="FFFFFF"/>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预制楼梯</w:t>
            </w:r>
          </w:p>
        </w:tc>
        <w:tc>
          <w:tcPr>
            <w:tcW w:w="1081" w:type="dxa"/>
            <w:tcBorders>
              <w:top w:val="single" w:color="auto" w:sz="4" w:space="0"/>
              <w:left w:val="single" w:color="auto" w:sz="4" w:space="0"/>
            </w:tcBorders>
            <w:shd w:val="clear" w:color="auto" w:fill="FFFFFF"/>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M³</w:t>
            </w:r>
          </w:p>
        </w:tc>
        <w:tc>
          <w:tcPr>
            <w:tcW w:w="1193" w:type="dxa"/>
            <w:tcBorders>
              <w:top w:val="single" w:color="auto" w:sz="4" w:space="0"/>
              <w:left w:val="single" w:color="auto" w:sz="4" w:space="0"/>
              <w:right w:val="single" w:color="auto" w:sz="4" w:space="0"/>
            </w:tcBorders>
            <w:shd w:val="clear" w:color="auto" w:fill="FFFFFF"/>
            <w:vAlign w:val="center"/>
          </w:tcPr>
          <w:p>
            <w:pPr>
              <w:spacing w:line="560" w:lineRule="exact"/>
              <w:jc w:val="center"/>
              <w:rPr>
                <w:sz w:val="28"/>
                <w:szCs w:val="36"/>
              </w:rPr>
            </w:pPr>
            <w:r>
              <w:rPr>
                <w:rFonts w:hint="eastAsia"/>
                <w:sz w:val="28"/>
                <w:szCs w:val="36"/>
                <w:lang w:val="en-US" w:eastAsia="zh-CN"/>
              </w:rPr>
              <w:t>3</w:t>
            </w:r>
            <w:r>
              <w:rPr>
                <w:rFonts w:hint="eastAsia"/>
                <w:sz w:val="28"/>
                <w:szCs w:val="36"/>
              </w:rPr>
              <w:t>%</w:t>
            </w:r>
          </w:p>
        </w:tc>
        <w:tc>
          <w:tcPr>
            <w:tcW w:w="1401" w:type="dxa"/>
            <w:tcBorders>
              <w:top w:val="single" w:color="auto" w:sz="4" w:space="0"/>
              <w:left w:val="single" w:color="auto" w:sz="4" w:space="0"/>
              <w:right w:val="single" w:color="auto" w:sz="4" w:space="0"/>
            </w:tcBorders>
            <w:shd w:val="clear" w:color="auto" w:fill="FFFFFF"/>
            <w:vAlign w:val="center"/>
          </w:tcPr>
          <w:p>
            <w:pPr>
              <w:spacing w:line="560" w:lineRule="exact"/>
              <w:ind w:firstLine="560" w:firstLineChars="200"/>
              <w:jc w:val="left"/>
              <w:rPr>
                <w:sz w:val="28"/>
                <w:szCs w:val="36"/>
              </w:rPr>
            </w:pPr>
            <w:r>
              <w:rPr>
                <w:rFonts w:hint="eastAsia"/>
                <w:sz w:val="28"/>
                <w:szCs w:val="36"/>
                <w:lang w:val="en-US" w:eastAsia="zh-CN"/>
              </w:rPr>
              <w:t>355</w:t>
            </w:r>
          </w:p>
        </w:tc>
        <w:tc>
          <w:tcPr>
            <w:tcW w:w="1112" w:type="dxa"/>
            <w:tcBorders>
              <w:top w:val="single" w:color="auto" w:sz="4" w:space="0"/>
              <w:left w:val="single" w:color="auto" w:sz="4" w:space="0"/>
              <w:right w:val="single" w:color="auto" w:sz="4" w:space="0"/>
            </w:tcBorders>
            <w:shd w:val="clear" w:color="auto" w:fill="FFFFFF"/>
            <w:vAlign w:val="center"/>
          </w:tcPr>
          <w:p>
            <w:pPr>
              <w:spacing w:line="560" w:lineRule="exact"/>
              <w:ind w:firstLine="420" w:firstLineChars="200"/>
              <w:jc w:val="left"/>
            </w:pPr>
          </w:p>
        </w:tc>
        <w:tc>
          <w:tcPr>
            <w:tcW w:w="1112" w:type="dxa"/>
            <w:tcBorders>
              <w:top w:val="single" w:color="auto" w:sz="4" w:space="0"/>
              <w:left w:val="single" w:color="auto" w:sz="4" w:space="0"/>
              <w:right w:val="single" w:color="auto" w:sz="4" w:space="0"/>
            </w:tcBorders>
            <w:shd w:val="clear" w:color="auto" w:fill="FFFFFF"/>
          </w:tcPr>
          <w:p>
            <w:pPr>
              <w:spacing w:line="560" w:lineRule="exact"/>
              <w:ind w:firstLine="420" w:firstLineChars="200"/>
              <w:jc w:val="left"/>
            </w:pPr>
          </w:p>
        </w:tc>
      </w:tr>
      <w:tr>
        <w:tblPrEx>
          <w:tblCellMar>
            <w:top w:w="0" w:type="dxa"/>
            <w:left w:w="10" w:type="dxa"/>
            <w:bottom w:w="0" w:type="dxa"/>
            <w:right w:w="10" w:type="dxa"/>
          </w:tblCellMar>
        </w:tblPrEx>
        <w:trPr>
          <w:trHeight w:val="700" w:hRule="atLeast"/>
          <w:jc w:val="center"/>
        </w:trPr>
        <w:tc>
          <w:tcPr>
            <w:tcW w:w="624"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3</w:t>
            </w:r>
          </w:p>
        </w:tc>
        <w:tc>
          <w:tcPr>
            <w:tcW w:w="1884"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预制叠合梁</w:t>
            </w:r>
          </w:p>
        </w:tc>
        <w:tc>
          <w:tcPr>
            <w:tcW w:w="1081"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M³</w:t>
            </w:r>
          </w:p>
        </w:tc>
        <w:tc>
          <w:tcPr>
            <w:tcW w:w="1193" w:type="dxa"/>
            <w:tcBorders>
              <w:top w:val="single" w:color="auto" w:sz="4" w:space="0"/>
              <w:left w:val="single" w:color="auto" w:sz="4" w:space="0"/>
              <w:right w:val="single" w:color="auto" w:sz="4" w:space="0"/>
            </w:tcBorders>
            <w:shd w:val="clear" w:color="auto" w:fill="FFFFFF"/>
            <w:vAlign w:val="center"/>
          </w:tcPr>
          <w:p>
            <w:pPr>
              <w:spacing w:line="560" w:lineRule="exact"/>
              <w:jc w:val="center"/>
              <w:rPr>
                <w:sz w:val="28"/>
                <w:szCs w:val="36"/>
              </w:rPr>
            </w:pPr>
            <w:r>
              <w:rPr>
                <w:rFonts w:hint="eastAsia"/>
                <w:sz w:val="28"/>
                <w:szCs w:val="36"/>
                <w:lang w:val="en-US" w:eastAsia="zh-CN"/>
              </w:rPr>
              <w:t>0</w:t>
            </w:r>
            <w:r>
              <w:rPr>
                <w:rFonts w:hint="eastAsia"/>
                <w:sz w:val="28"/>
                <w:szCs w:val="36"/>
              </w:rPr>
              <w:t>%</w:t>
            </w:r>
          </w:p>
        </w:tc>
        <w:tc>
          <w:tcPr>
            <w:tcW w:w="1401" w:type="dxa"/>
            <w:tcBorders>
              <w:top w:val="single" w:color="auto" w:sz="4" w:space="0"/>
              <w:left w:val="single" w:color="auto" w:sz="4" w:space="0"/>
              <w:right w:val="single" w:color="auto" w:sz="4" w:space="0"/>
            </w:tcBorders>
            <w:shd w:val="clear" w:color="auto" w:fill="FFFFFF"/>
            <w:vAlign w:val="center"/>
          </w:tcPr>
          <w:p>
            <w:pPr>
              <w:spacing w:line="560" w:lineRule="exact"/>
              <w:ind w:firstLine="560" w:firstLineChars="200"/>
              <w:jc w:val="left"/>
              <w:rPr>
                <w:sz w:val="28"/>
                <w:szCs w:val="36"/>
              </w:rPr>
            </w:pPr>
            <w:r>
              <w:rPr>
                <w:rFonts w:hint="eastAsia"/>
                <w:sz w:val="28"/>
                <w:szCs w:val="36"/>
                <w:lang w:val="en-US" w:eastAsia="zh-CN"/>
              </w:rPr>
              <w:t>495</w:t>
            </w:r>
          </w:p>
        </w:tc>
        <w:tc>
          <w:tcPr>
            <w:tcW w:w="1112" w:type="dxa"/>
            <w:tcBorders>
              <w:top w:val="single" w:color="auto" w:sz="4" w:space="0"/>
              <w:left w:val="single" w:color="auto" w:sz="4" w:space="0"/>
              <w:right w:val="single" w:color="auto" w:sz="4" w:space="0"/>
            </w:tcBorders>
            <w:shd w:val="clear" w:color="auto" w:fill="FFFFFF"/>
            <w:vAlign w:val="center"/>
          </w:tcPr>
          <w:p>
            <w:pPr>
              <w:spacing w:line="560" w:lineRule="exact"/>
              <w:ind w:firstLine="420" w:firstLineChars="200"/>
              <w:jc w:val="left"/>
              <w:rPr>
                <w:rFonts w:hint="eastAsia" w:eastAsia="宋体"/>
                <w:lang w:val="en-US" w:eastAsia="zh-CN"/>
              </w:rPr>
            </w:pPr>
            <w:r>
              <w:rPr>
                <w:rFonts w:hint="eastAsia"/>
                <w:lang w:val="en-US" w:eastAsia="zh-CN"/>
              </w:rPr>
              <w:t>/</w:t>
            </w:r>
          </w:p>
        </w:tc>
        <w:tc>
          <w:tcPr>
            <w:tcW w:w="1112" w:type="dxa"/>
            <w:tcBorders>
              <w:top w:val="single" w:color="auto" w:sz="4" w:space="0"/>
              <w:left w:val="single" w:color="auto" w:sz="4" w:space="0"/>
              <w:right w:val="single" w:color="auto" w:sz="4" w:space="0"/>
            </w:tcBorders>
            <w:shd w:val="clear" w:color="auto" w:fill="FFFFFF"/>
          </w:tcPr>
          <w:p>
            <w:pPr>
              <w:spacing w:line="560" w:lineRule="exact"/>
              <w:ind w:firstLine="420" w:firstLineChars="200"/>
              <w:jc w:val="left"/>
              <w:rPr>
                <w:rFonts w:hint="eastAsia" w:eastAsia="宋体"/>
                <w:lang w:val="en-US" w:eastAsia="zh-CN"/>
              </w:rPr>
            </w:pPr>
            <w:r>
              <w:rPr>
                <w:rFonts w:hint="eastAsia"/>
                <w:lang w:val="en-US" w:eastAsia="zh-CN"/>
              </w:rPr>
              <w:t>/</w:t>
            </w:r>
          </w:p>
        </w:tc>
      </w:tr>
      <w:tr>
        <w:tblPrEx>
          <w:tblCellMar>
            <w:top w:w="0" w:type="dxa"/>
            <w:left w:w="10" w:type="dxa"/>
            <w:bottom w:w="0" w:type="dxa"/>
            <w:right w:w="10" w:type="dxa"/>
          </w:tblCellMar>
        </w:tblPrEx>
        <w:trPr>
          <w:trHeight w:val="700" w:hRule="atLeast"/>
          <w:jc w:val="center"/>
        </w:trPr>
        <w:tc>
          <w:tcPr>
            <w:tcW w:w="624"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4</w:t>
            </w:r>
          </w:p>
        </w:tc>
        <w:tc>
          <w:tcPr>
            <w:tcW w:w="1884"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预制保温夹心外墙</w:t>
            </w:r>
          </w:p>
        </w:tc>
        <w:tc>
          <w:tcPr>
            <w:tcW w:w="1081"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M³</w:t>
            </w:r>
          </w:p>
        </w:tc>
        <w:tc>
          <w:tcPr>
            <w:tcW w:w="1193" w:type="dxa"/>
            <w:tcBorders>
              <w:top w:val="single" w:color="auto" w:sz="4" w:space="0"/>
              <w:left w:val="single" w:color="auto" w:sz="4" w:space="0"/>
              <w:right w:val="single" w:color="auto" w:sz="4" w:space="0"/>
            </w:tcBorders>
            <w:shd w:val="clear" w:color="auto" w:fill="FFFFFF"/>
            <w:vAlign w:val="center"/>
          </w:tcPr>
          <w:p>
            <w:pPr>
              <w:spacing w:line="560" w:lineRule="exact"/>
              <w:jc w:val="center"/>
              <w:rPr>
                <w:sz w:val="28"/>
                <w:szCs w:val="36"/>
              </w:rPr>
            </w:pPr>
            <w:r>
              <w:rPr>
                <w:rFonts w:hint="eastAsia"/>
                <w:sz w:val="28"/>
                <w:szCs w:val="36"/>
                <w:lang w:val="en-US" w:eastAsia="zh-CN"/>
              </w:rPr>
              <w:t>44</w:t>
            </w:r>
            <w:r>
              <w:rPr>
                <w:rFonts w:hint="eastAsia"/>
                <w:sz w:val="28"/>
                <w:szCs w:val="36"/>
              </w:rPr>
              <w:t>%</w:t>
            </w:r>
          </w:p>
        </w:tc>
        <w:tc>
          <w:tcPr>
            <w:tcW w:w="1401" w:type="dxa"/>
            <w:tcBorders>
              <w:top w:val="single" w:color="auto" w:sz="4" w:space="0"/>
              <w:left w:val="single" w:color="auto" w:sz="4" w:space="0"/>
              <w:right w:val="single" w:color="auto" w:sz="4" w:space="0"/>
            </w:tcBorders>
            <w:shd w:val="clear" w:color="auto" w:fill="FFFFFF"/>
            <w:vAlign w:val="center"/>
          </w:tcPr>
          <w:p>
            <w:pPr>
              <w:spacing w:line="560" w:lineRule="exact"/>
              <w:ind w:firstLine="560" w:firstLineChars="200"/>
              <w:jc w:val="left"/>
              <w:rPr>
                <w:sz w:val="28"/>
                <w:szCs w:val="36"/>
              </w:rPr>
            </w:pPr>
            <w:r>
              <w:rPr>
                <w:rFonts w:hint="eastAsia"/>
                <w:sz w:val="28"/>
                <w:szCs w:val="36"/>
                <w:lang w:val="en-US" w:eastAsia="zh-CN"/>
              </w:rPr>
              <w:t>555</w:t>
            </w:r>
          </w:p>
        </w:tc>
        <w:tc>
          <w:tcPr>
            <w:tcW w:w="1112" w:type="dxa"/>
            <w:tcBorders>
              <w:top w:val="single" w:color="auto" w:sz="4" w:space="0"/>
              <w:left w:val="single" w:color="auto" w:sz="4" w:space="0"/>
              <w:right w:val="single" w:color="auto" w:sz="4" w:space="0"/>
            </w:tcBorders>
            <w:shd w:val="clear" w:color="auto" w:fill="FFFFFF"/>
            <w:vAlign w:val="center"/>
          </w:tcPr>
          <w:p>
            <w:pPr>
              <w:spacing w:line="560" w:lineRule="exact"/>
              <w:ind w:firstLine="420" w:firstLineChars="200"/>
              <w:jc w:val="left"/>
            </w:pPr>
          </w:p>
        </w:tc>
        <w:tc>
          <w:tcPr>
            <w:tcW w:w="1112" w:type="dxa"/>
            <w:tcBorders>
              <w:top w:val="single" w:color="auto" w:sz="4" w:space="0"/>
              <w:left w:val="single" w:color="auto" w:sz="4" w:space="0"/>
              <w:right w:val="single" w:color="auto" w:sz="4" w:space="0"/>
            </w:tcBorders>
            <w:shd w:val="clear" w:color="auto" w:fill="FFFFFF"/>
          </w:tcPr>
          <w:p>
            <w:pPr>
              <w:spacing w:line="560" w:lineRule="exact"/>
              <w:ind w:firstLine="420" w:firstLineChars="200"/>
              <w:jc w:val="left"/>
            </w:pPr>
          </w:p>
        </w:tc>
      </w:tr>
      <w:tr>
        <w:tblPrEx>
          <w:tblCellMar>
            <w:top w:w="0" w:type="dxa"/>
            <w:left w:w="10" w:type="dxa"/>
            <w:bottom w:w="0" w:type="dxa"/>
            <w:right w:w="10" w:type="dxa"/>
          </w:tblCellMar>
        </w:tblPrEx>
        <w:trPr>
          <w:trHeight w:val="700" w:hRule="atLeast"/>
          <w:jc w:val="center"/>
        </w:trPr>
        <w:tc>
          <w:tcPr>
            <w:tcW w:w="624"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5</w:t>
            </w:r>
          </w:p>
        </w:tc>
        <w:tc>
          <w:tcPr>
            <w:tcW w:w="1884"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预制外墙板</w:t>
            </w:r>
          </w:p>
        </w:tc>
        <w:tc>
          <w:tcPr>
            <w:tcW w:w="1081"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M³</w:t>
            </w:r>
          </w:p>
        </w:tc>
        <w:tc>
          <w:tcPr>
            <w:tcW w:w="1193" w:type="dxa"/>
            <w:tcBorders>
              <w:top w:val="single" w:color="auto" w:sz="4" w:space="0"/>
              <w:left w:val="single" w:color="auto" w:sz="4" w:space="0"/>
              <w:right w:val="single" w:color="auto" w:sz="4" w:space="0"/>
            </w:tcBorders>
            <w:shd w:val="clear" w:color="auto" w:fill="FFFFFF"/>
            <w:vAlign w:val="center"/>
          </w:tcPr>
          <w:p>
            <w:pPr>
              <w:spacing w:line="560" w:lineRule="exact"/>
              <w:jc w:val="center"/>
              <w:rPr>
                <w:sz w:val="28"/>
                <w:szCs w:val="36"/>
              </w:rPr>
            </w:pPr>
            <w:r>
              <w:rPr>
                <w:rFonts w:hint="eastAsia"/>
                <w:sz w:val="28"/>
                <w:szCs w:val="36"/>
                <w:lang w:val="en-US" w:eastAsia="zh-CN"/>
              </w:rPr>
              <w:t>11</w:t>
            </w:r>
            <w:r>
              <w:rPr>
                <w:rFonts w:hint="eastAsia"/>
                <w:sz w:val="28"/>
                <w:szCs w:val="36"/>
              </w:rPr>
              <w:t>%</w:t>
            </w:r>
          </w:p>
        </w:tc>
        <w:tc>
          <w:tcPr>
            <w:tcW w:w="1401" w:type="dxa"/>
            <w:tcBorders>
              <w:top w:val="single" w:color="auto" w:sz="4" w:space="0"/>
              <w:left w:val="single" w:color="auto" w:sz="4" w:space="0"/>
              <w:right w:val="single" w:color="auto" w:sz="4" w:space="0"/>
            </w:tcBorders>
            <w:shd w:val="clear" w:color="auto" w:fill="FFFFFF"/>
            <w:vAlign w:val="center"/>
          </w:tcPr>
          <w:p>
            <w:pPr>
              <w:spacing w:line="560" w:lineRule="exact"/>
              <w:ind w:firstLine="560" w:firstLineChars="200"/>
              <w:jc w:val="left"/>
              <w:rPr>
                <w:sz w:val="28"/>
                <w:szCs w:val="36"/>
              </w:rPr>
            </w:pPr>
            <w:r>
              <w:rPr>
                <w:rFonts w:hint="eastAsia"/>
                <w:sz w:val="28"/>
                <w:szCs w:val="36"/>
                <w:lang w:val="en-US" w:eastAsia="zh-CN"/>
              </w:rPr>
              <w:t>495</w:t>
            </w:r>
          </w:p>
        </w:tc>
        <w:tc>
          <w:tcPr>
            <w:tcW w:w="1112" w:type="dxa"/>
            <w:tcBorders>
              <w:top w:val="single" w:color="auto" w:sz="4" w:space="0"/>
              <w:left w:val="single" w:color="auto" w:sz="4" w:space="0"/>
              <w:right w:val="single" w:color="auto" w:sz="4" w:space="0"/>
            </w:tcBorders>
            <w:shd w:val="clear" w:color="auto" w:fill="FFFFFF"/>
            <w:vAlign w:val="center"/>
          </w:tcPr>
          <w:p>
            <w:pPr>
              <w:spacing w:line="560" w:lineRule="exact"/>
              <w:ind w:firstLine="420" w:firstLineChars="200"/>
              <w:jc w:val="left"/>
            </w:pPr>
          </w:p>
        </w:tc>
        <w:tc>
          <w:tcPr>
            <w:tcW w:w="1112" w:type="dxa"/>
            <w:tcBorders>
              <w:top w:val="single" w:color="auto" w:sz="4" w:space="0"/>
              <w:left w:val="single" w:color="auto" w:sz="4" w:space="0"/>
              <w:right w:val="single" w:color="auto" w:sz="4" w:space="0"/>
            </w:tcBorders>
            <w:shd w:val="clear" w:color="auto" w:fill="FFFFFF"/>
          </w:tcPr>
          <w:p>
            <w:pPr>
              <w:spacing w:line="560" w:lineRule="exact"/>
              <w:ind w:firstLine="420" w:firstLineChars="200"/>
              <w:jc w:val="left"/>
            </w:pPr>
          </w:p>
        </w:tc>
      </w:tr>
      <w:tr>
        <w:tblPrEx>
          <w:tblCellMar>
            <w:top w:w="0" w:type="dxa"/>
            <w:left w:w="10" w:type="dxa"/>
            <w:bottom w:w="0" w:type="dxa"/>
            <w:right w:w="10" w:type="dxa"/>
          </w:tblCellMar>
        </w:tblPrEx>
        <w:trPr>
          <w:trHeight w:val="700" w:hRule="atLeast"/>
          <w:jc w:val="center"/>
        </w:trPr>
        <w:tc>
          <w:tcPr>
            <w:tcW w:w="624"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6</w:t>
            </w:r>
          </w:p>
        </w:tc>
        <w:tc>
          <w:tcPr>
            <w:tcW w:w="1884"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预制内墙板</w:t>
            </w:r>
          </w:p>
        </w:tc>
        <w:tc>
          <w:tcPr>
            <w:tcW w:w="1081"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M³</w:t>
            </w:r>
          </w:p>
        </w:tc>
        <w:tc>
          <w:tcPr>
            <w:tcW w:w="1193" w:type="dxa"/>
            <w:tcBorders>
              <w:top w:val="single" w:color="auto" w:sz="4" w:space="0"/>
              <w:left w:val="single" w:color="auto" w:sz="4" w:space="0"/>
              <w:right w:val="single" w:color="auto" w:sz="4" w:space="0"/>
            </w:tcBorders>
            <w:shd w:val="clear" w:color="auto" w:fill="FFFFFF"/>
            <w:vAlign w:val="center"/>
          </w:tcPr>
          <w:p>
            <w:pPr>
              <w:spacing w:line="560" w:lineRule="exact"/>
              <w:jc w:val="center"/>
              <w:rPr>
                <w:sz w:val="28"/>
                <w:szCs w:val="36"/>
              </w:rPr>
            </w:pPr>
            <w:r>
              <w:rPr>
                <w:rFonts w:hint="eastAsia"/>
                <w:sz w:val="28"/>
                <w:szCs w:val="36"/>
                <w:lang w:val="en-US" w:eastAsia="zh-CN"/>
              </w:rPr>
              <w:t>9</w:t>
            </w:r>
            <w:r>
              <w:rPr>
                <w:rFonts w:hint="eastAsia"/>
                <w:sz w:val="28"/>
                <w:szCs w:val="36"/>
              </w:rPr>
              <w:t>%</w:t>
            </w:r>
          </w:p>
        </w:tc>
        <w:tc>
          <w:tcPr>
            <w:tcW w:w="1401" w:type="dxa"/>
            <w:tcBorders>
              <w:top w:val="single" w:color="auto" w:sz="4" w:space="0"/>
              <w:left w:val="single" w:color="auto" w:sz="4" w:space="0"/>
              <w:right w:val="single" w:color="auto" w:sz="4" w:space="0"/>
            </w:tcBorders>
            <w:shd w:val="clear" w:color="auto" w:fill="FFFFFF"/>
            <w:vAlign w:val="center"/>
          </w:tcPr>
          <w:p>
            <w:pPr>
              <w:spacing w:line="560" w:lineRule="exact"/>
              <w:ind w:firstLine="560" w:firstLineChars="200"/>
              <w:jc w:val="left"/>
              <w:rPr>
                <w:sz w:val="28"/>
                <w:szCs w:val="36"/>
              </w:rPr>
            </w:pPr>
            <w:r>
              <w:rPr>
                <w:rFonts w:hint="eastAsia"/>
                <w:sz w:val="28"/>
                <w:szCs w:val="36"/>
                <w:lang w:val="en-US" w:eastAsia="zh-CN"/>
              </w:rPr>
              <w:t>480</w:t>
            </w:r>
          </w:p>
        </w:tc>
        <w:tc>
          <w:tcPr>
            <w:tcW w:w="1112" w:type="dxa"/>
            <w:tcBorders>
              <w:top w:val="single" w:color="auto" w:sz="4" w:space="0"/>
              <w:left w:val="single" w:color="auto" w:sz="4" w:space="0"/>
              <w:right w:val="single" w:color="auto" w:sz="4" w:space="0"/>
            </w:tcBorders>
            <w:shd w:val="clear" w:color="auto" w:fill="FFFFFF"/>
            <w:vAlign w:val="center"/>
          </w:tcPr>
          <w:p>
            <w:pPr>
              <w:spacing w:line="560" w:lineRule="exact"/>
              <w:ind w:firstLine="420" w:firstLineChars="200"/>
              <w:jc w:val="left"/>
            </w:pPr>
          </w:p>
        </w:tc>
        <w:tc>
          <w:tcPr>
            <w:tcW w:w="1112" w:type="dxa"/>
            <w:tcBorders>
              <w:top w:val="single" w:color="auto" w:sz="4" w:space="0"/>
              <w:left w:val="single" w:color="auto" w:sz="4" w:space="0"/>
              <w:right w:val="single" w:color="auto" w:sz="4" w:space="0"/>
            </w:tcBorders>
            <w:shd w:val="clear" w:color="auto" w:fill="FFFFFF"/>
          </w:tcPr>
          <w:p>
            <w:pPr>
              <w:spacing w:line="560" w:lineRule="exact"/>
              <w:ind w:firstLine="420" w:firstLineChars="200"/>
              <w:jc w:val="left"/>
            </w:pPr>
          </w:p>
        </w:tc>
      </w:tr>
      <w:tr>
        <w:tblPrEx>
          <w:tblCellMar>
            <w:top w:w="0" w:type="dxa"/>
            <w:left w:w="10" w:type="dxa"/>
            <w:bottom w:w="0" w:type="dxa"/>
            <w:right w:w="10" w:type="dxa"/>
          </w:tblCellMar>
        </w:tblPrEx>
        <w:trPr>
          <w:trHeight w:val="700" w:hRule="atLeast"/>
          <w:jc w:val="center"/>
        </w:trPr>
        <w:tc>
          <w:tcPr>
            <w:tcW w:w="624"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eastAsiaTheme="minorEastAsia"/>
                <w:color w:val="000000"/>
                <w:kern w:val="0"/>
                <w:sz w:val="24"/>
                <w:lang w:bidi="ar"/>
              </w:rPr>
              <w:t>7</w:t>
            </w:r>
          </w:p>
        </w:tc>
        <w:tc>
          <w:tcPr>
            <w:tcW w:w="1884"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预制空调板、阳台、飘窗</w:t>
            </w:r>
          </w:p>
        </w:tc>
        <w:tc>
          <w:tcPr>
            <w:tcW w:w="1081"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M³</w:t>
            </w:r>
          </w:p>
        </w:tc>
        <w:tc>
          <w:tcPr>
            <w:tcW w:w="1193"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560" w:lineRule="exact"/>
              <w:jc w:val="center"/>
              <w:rPr>
                <w:sz w:val="28"/>
                <w:szCs w:val="36"/>
              </w:rPr>
            </w:pPr>
            <w:r>
              <w:rPr>
                <w:rFonts w:hint="eastAsia"/>
                <w:sz w:val="28"/>
                <w:szCs w:val="36"/>
                <w:lang w:val="en-US" w:eastAsia="zh-CN"/>
              </w:rPr>
              <w:t>11</w:t>
            </w:r>
            <w:r>
              <w:rPr>
                <w:rFonts w:hint="eastAsia"/>
                <w:sz w:val="28"/>
                <w:szCs w:val="36"/>
              </w:rPr>
              <w:t>%</w:t>
            </w:r>
          </w:p>
        </w:tc>
        <w:tc>
          <w:tcPr>
            <w:tcW w:w="1401"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560" w:lineRule="exact"/>
              <w:ind w:firstLine="560" w:firstLineChars="200"/>
              <w:jc w:val="left"/>
              <w:rPr>
                <w:sz w:val="28"/>
                <w:szCs w:val="36"/>
              </w:rPr>
            </w:pPr>
            <w:r>
              <w:rPr>
                <w:rFonts w:hint="eastAsia"/>
                <w:sz w:val="28"/>
                <w:szCs w:val="36"/>
                <w:lang w:val="en-US" w:eastAsia="zh-CN"/>
              </w:rPr>
              <w:t>555</w:t>
            </w:r>
          </w:p>
        </w:tc>
        <w:tc>
          <w:tcPr>
            <w:tcW w:w="1112"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560" w:lineRule="exact"/>
              <w:ind w:firstLine="420" w:firstLineChars="200"/>
              <w:jc w:val="left"/>
            </w:pPr>
          </w:p>
        </w:tc>
        <w:tc>
          <w:tcPr>
            <w:tcW w:w="1112" w:type="dxa"/>
            <w:tcBorders>
              <w:top w:val="single" w:color="auto" w:sz="4" w:space="0"/>
              <w:left w:val="single" w:color="auto" w:sz="4" w:space="0"/>
              <w:bottom w:val="single" w:color="auto" w:sz="4" w:space="0"/>
              <w:right w:val="single" w:color="auto" w:sz="4" w:space="0"/>
            </w:tcBorders>
            <w:shd w:val="clear" w:color="auto" w:fill="FFFFFF"/>
          </w:tcPr>
          <w:p>
            <w:pPr>
              <w:spacing w:line="560" w:lineRule="exact"/>
              <w:ind w:firstLine="420" w:firstLineChars="200"/>
              <w:jc w:val="left"/>
            </w:pPr>
          </w:p>
        </w:tc>
      </w:tr>
      <w:tr>
        <w:tblPrEx>
          <w:tblCellMar>
            <w:top w:w="0" w:type="dxa"/>
            <w:left w:w="10" w:type="dxa"/>
            <w:bottom w:w="0" w:type="dxa"/>
            <w:right w:w="10" w:type="dxa"/>
          </w:tblCellMar>
        </w:tblPrEx>
        <w:trPr>
          <w:trHeight w:val="700" w:hRule="atLeast"/>
          <w:jc w:val="center"/>
        </w:trPr>
        <w:tc>
          <w:tcPr>
            <w:tcW w:w="624"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highlight w:val="yellow"/>
              </w:rPr>
            </w:pPr>
            <w:r>
              <w:rPr>
                <w:rFonts w:hint="eastAsia" w:ascii="宋体" w:hAnsi="宋体" w:cs="宋体" w:eastAsiaTheme="minorEastAsia"/>
                <w:color w:val="000000"/>
                <w:kern w:val="0"/>
                <w:sz w:val="24"/>
                <w:lang w:bidi="ar"/>
              </w:rPr>
              <w:t>8</w:t>
            </w:r>
          </w:p>
        </w:tc>
        <w:tc>
          <w:tcPr>
            <w:tcW w:w="1884"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highlight w:val="yellow"/>
              </w:rPr>
            </w:pPr>
            <w:r>
              <w:rPr>
                <w:rFonts w:hint="eastAsia" w:ascii="宋体" w:hAnsi="宋体" w:cs="宋体"/>
                <w:color w:val="000000"/>
                <w:kern w:val="0"/>
                <w:sz w:val="24"/>
                <w:lang w:bidi="ar"/>
              </w:rPr>
              <w:t>预制PCF板</w:t>
            </w:r>
          </w:p>
        </w:tc>
        <w:tc>
          <w:tcPr>
            <w:tcW w:w="1081"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M³</w:t>
            </w:r>
          </w:p>
        </w:tc>
        <w:tc>
          <w:tcPr>
            <w:tcW w:w="1193"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560" w:lineRule="exact"/>
              <w:jc w:val="center"/>
              <w:rPr>
                <w:sz w:val="28"/>
                <w:szCs w:val="36"/>
              </w:rPr>
            </w:pPr>
            <w:r>
              <w:rPr>
                <w:rFonts w:hint="eastAsia"/>
                <w:sz w:val="28"/>
                <w:szCs w:val="36"/>
                <w:lang w:val="en-US" w:eastAsia="zh-CN"/>
              </w:rPr>
              <w:t>2</w:t>
            </w:r>
            <w:r>
              <w:rPr>
                <w:rFonts w:hint="eastAsia"/>
                <w:sz w:val="28"/>
                <w:szCs w:val="36"/>
              </w:rPr>
              <w:t>%</w:t>
            </w:r>
          </w:p>
        </w:tc>
        <w:tc>
          <w:tcPr>
            <w:tcW w:w="1401"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560" w:lineRule="exact"/>
              <w:ind w:firstLine="560" w:firstLineChars="200"/>
              <w:jc w:val="left"/>
              <w:rPr>
                <w:sz w:val="28"/>
                <w:szCs w:val="36"/>
              </w:rPr>
            </w:pPr>
            <w:r>
              <w:rPr>
                <w:rFonts w:hint="eastAsia"/>
                <w:sz w:val="28"/>
                <w:szCs w:val="36"/>
              </w:rPr>
              <w:t>560</w:t>
            </w:r>
          </w:p>
        </w:tc>
        <w:tc>
          <w:tcPr>
            <w:tcW w:w="1112"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560" w:lineRule="exact"/>
              <w:ind w:firstLine="420" w:firstLineChars="200"/>
              <w:jc w:val="left"/>
            </w:pPr>
          </w:p>
        </w:tc>
        <w:tc>
          <w:tcPr>
            <w:tcW w:w="1112" w:type="dxa"/>
            <w:tcBorders>
              <w:top w:val="single" w:color="auto" w:sz="4" w:space="0"/>
              <w:left w:val="single" w:color="auto" w:sz="4" w:space="0"/>
              <w:bottom w:val="single" w:color="auto" w:sz="4" w:space="0"/>
              <w:right w:val="single" w:color="auto" w:sz="4" w:space="0"/>
            </w:tcBorders>
            <w:shd w:val="clear" w:color="auto" w:fill="FFFFFF"/>
          </w:tcPr>
          <w:p>
            <w:pPr>
              <w:spacing w:line="560" w:lineRule="exact"/>
              <w:ind w:firstLine="420" w:firstLineChars="200"/>
              <w:jc w:val="left"/>
            </w:pPr>
          </w:p>
        </w:tc>
      </w:tr>
      <w:tr>
        <w:tblPrEx>
          <w:tblCellMar>
            <w:top w:w="0" w:type="dxa"/>
            <w:left w:w="10" w:type="dxa"/>
            <w:bottom w:w="0" w:type="dxa"/>
            <w:right w:w="10" w:type="dxa"/>
          </w:tblCellMar>
        </w:tblPrEx>
        <w:trPr>
          <w:trHeight w:val="700" w:hRule="atLeast"/>
          <w:jc w:val="center"/>
        </w:trPr>
        <w:tc>
          <w:tcPr>
            <w:tcW w:w="624"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hint="eastAsia" w:ascii="宋体" w:hAnsi="宋体" w:cs="宋体" w:eastAsiaTheme="minorEastAsia"/>
                <w:color w:val="000000"/>
                <w:kern w:val="0"/>
                <w:sz w:val="24"/>
                <w:lang w:bidi="ar"/>
              </w:rPr>
            </w:pPr>
            <w:r>
              <w:rPr>
                <w:rFonts w:hint="eastAsia" w:ascii="宋体" w:hAnsi="宋体" w:cs="宋体" w:eastAsiaTheme="minorEastAsia"/>
                <w:color w:val="000000"/>
                <w:kern w:val="0"/>
                <w:sz w:val="24"/>
                <w:lang w:bidi="ar"/>
              </w:rPr>
              <w:t>9</w:t>
            </w:r>
          </w:p>
        </w:tc>
        <w:tc>
          <w:tcPr>
            <w:tcW w:w="1884"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最终报价</w:t>
            </w:r>
          </w:p>
        </w:tc>
        <w:tc>
          <w:tcPr>
            <w:tcW w:w="1081"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hint="eastAsia" w:ascii="宋体" w:hAnsi="宋体" w:cs="宋体"/>
                <w:color w:val="000000"/>
                <w:kern w:val="0"/>
                <w:sz w:val="24"/>
                <w:lang w:bidi="ar"/>
              </w:rPr>
            </w:pPr>
          </w:p>
        </w:tc>
        <w:tc>
          <w:tcPr>
            <w:tcW w:w="1193"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560" w:lineRule="exact"/>
              <w:jc w:val="center"/>
              <w:rPr>
                <w:rFonts w:hint="eastAsia"/>
                <w:sz w:val="28"/>
                <w:szCs w:val="36"/>
              </w:rPr>
            </w:pPr>
          </w:p>
        </w:tc>
        <w:tc>
          <w:tcPr>
            <w:tcW w:w="1401"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560" w:lineRule="exact"/>
              <w:ind w:firstLine="560" w:firstLineChars="200"/>
              <w:jc w:val="left"/>
              <w:rPr>
                <w:rFonts w:hint="eastAsia"/>
                <w:sz w:val="28"/>
                <w:szCs w:val="36"/>
              </w:rPr>
            </w:pPr>
          </w:p>
        </w:tc>
        <w:tc>
          <w:tcPr>
            <w:tcW w:w="1112"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560" w:lineRule="exact"/>
              <w:ind w:firstLine="420" w:firstLineChars="200"/>
              <w:jc w:val="left"/>
            </w:pPr>
            <w:r>
              <w:rPr>
                <w:rFonts w:hint="eastAsia"/>
              </w:rPr>
              <w:t>/</w:t>
            </w:r>
          </w:p>
        </w:tc>
        <w:tc>
          <w:tcPr>
            <w:tcW w:w="1112" w:type="dxa"/>
            <w:tcBorders>
              <w:top w:val="single" w:color="auto" w:sz="4" w:space="0"/>
              <w:left w:val="single" w:color="auto" w:sz="4" w:space="0"/>
              <w:bottom w:val="single" w:color="auto" w:sz="4" w:space="0"/>
              <w:right w:val="single" w:color="auto" w:sz="4" w:space="0"/>
            </w:tcBorders>
            <w:shd w:val="clear" w:color="auto" w:fill="FFFFFF"/>
          </w:tcPr>
          <w:p>
            <w:pPr>
              <w:spacing w:line="560" w:lineRule="exact"/>
              <w:ind w:firstLine="420" w:firstLineChars="200"/>
              <w:jc w:val="left"/>
            </w:pPr>
          </w:p>
        </w:tc>
      </w:tr>
    </w:tbl>
    <w:p>
      <w:r>
        <w:rPr>
          <w:rFonts w:hint="eastAsia"/>
        </w:rPr>
        <w:t>备注：1、以上报价为含税专票价格，含3</w:t>
      </w:r>
      <w:r>
        <w:t>%</w:t>
      </w:r>
      <w:r>
        <w:rPr>
          <w:rFonts w:hint="eastAsia"/>
        </w:rPr>
        <w:t>专票税率。项目生产量暂定，按实结算。</w:t>
      </w:r>
    </w:p>
    <w:p>
      <w:pPr>
        <w:pStyle w:val="17"/>
        <w:ind w:firstLine="630" w:firstLineChars="300"/>
        <w:rPr>
          <w:sz w:val="21"/>
        </w:rPr>
      </w:pPr>
      <w:r>
        <w:rPr>
          <w:rFonts w:hint="eastAsia"/>
          <w:sz w:val="21"/>
        </w:rPr>
        <w:t>2、以上报价为包干价格，一经双方确定，不得以任何理由提出涨价、索赔等要求。</w:t>
      </w:r>
    </w:p>
    <w:p>
      <w:pPr>
        <w:ind w:firstLine="630" w:firstLineChars="300"/>
        <w:rPr>
          <w:rFonts w:hint="eastAsia" w:ascii="Times New Roman" w:hAnsi="Times New Roman"/>
        </w:rPr>
      </w:pPr>
      <w:r>
        <w:rPr>
          <w:rFonts w:hint="eastAsia" w:ascii="Times New Roman" w:hAnsi="Times New Roman"/>
        </w:rPr>
        <w:t>3、最终报价为列表中各项构件综合报价*构件占比之和，即最终报价</w:t>
      </w:r>
      <w:r>
        <w:rPr>
          <w:rFonts w:ascii="Times New Roman" w:hAnsi="Times New Roman"/>
        </w:rPr>
        <w:t>=</w:t>
      </w:r>
      <w:r>
        <w:rPr>
          <w:rFonts w:hint="eastAsia" w:ascii="Times New Roman" w:hAnsi="Times New Roman"/>
        </w:rPr>
        <w:t>叠合板报价*</w:t>
      </w:r>
      <w:r>
        <w:rPr>
          <w:rFonts w:ascii="Times New Roman" w:hAnsi="Times New Roman"/>
        </w:rPr>
        <w:t>1</w:t>
      </w:r>
      <w:r>
        <w:rPr>
          <w:rFonts w:hint="eastAsia" w:ascii="Times New Roman" w:hAnsi="Times New Roman"/>
          <w:lang w:val="en-US" w:eastAsia="zh-CN"/>
        </w:rPr>
        <w:t>8</w:t>
      </w:r>
      <w:r>
        <w:rPr>
          <w:rFonts w:ascii="Times New Roman" w:hAnsi="Times New Roman"/>
        </w:rPr>
        <w:t>%+</w:t>
      </w:r>
      <w:r>
        <w:rPr>
          <w:rFonts w:hint="eastAsia" w:ascii="Times New Roman" w:hAnsi="Times New Roman"/>
        </w:rPr>
        <w:t>楼梯报价*</w:t>
      </w:r>
      <w:r>
        <w:rPr>
          <w:rFonts w:ascii="Times New Roman" w:hAnsi="Times New Roman"/>
        </w:rPr>
        <w:t>3%+</w:t>
      </w:r>
      <w:r>
        <w:rPr>
          <w:rFonts w:hint="eastAsia" w:ascii="Times New Roman" w:hAnsi="Times New Roman"/>
        </w:rPr>
        <w:t>叠合梁报价*</w:t>
      </w:r>
      <w:r>
        <w:rPr>
          <w:rFonts w:ascii="Times New Roman" w:hAnsi="Times New Roman"/>
        </w:rPr>
        <w:t>3%+……</w:t>
      </w:r>
    </w:p>
    <w:p>
      <w:pPr>
        <w:pStyle w:val="17"/>
        <w:ind w:firstLine="0" w:firstLineChars="0"/>
        <w:rPr>
          <w:rFonts w:hint="eastAsia"/>
        </w:rPr>
      </w:pPr>
      <w:r>
        <w:rPr>
          <w:rFonts w:hint="eastAsia"/>
        </w:rPr>
        <w:t xml:space="preserve">                                   </w:t>
      </w:r>
    </w:p>
    <w:p>
      <w:pPr>
        <w:pStyle w:val="17"/>
        <w:ind w:firstLine="5040" w:firstLineChars="1800"/>
      </w:pPr>
      <w:r>
        <w:rPr>
          <w:rFonts w:hint="eastAsia"/>
        </w:rPr>
        <w:t>报价人：   （公章）</w:t>
      </w:r>
    </w:p>
    <w:p>
      <w:pPr>
        <w:pStyle w:val="17"/>
        <w:ind w:firstLine="5180" w:firstLineChars="1850"/>
        <w:rPr>
          <w:rFonts w:hint="eastAsia"/>
          <w:lang w:eastAsia="zh-CN"/>
        </w:rPr>
      </w:pPr>
      <w:r>
        <w:rPr>
          <w:rFonts w:hint="eastAsia"/>
        </w:rPr>
        <w:t>202</w:t>
      </w:r>
      <w:r>
        <w:t>3</w:t>
      </w:r>
      <w:r>
        <w:rPr>
          <w:rFonts w:hint="eastAsia"/>
        </w:rPr>
        <w:t xml:space="preserve">年   月   日      </w:t>
      </w:r>
    </w:p>
    <w:p>
      <w:pPr>
        <w:pStyle w:val="17"/>
        <w:ind w:left="0" w:leftChars="0" w:firstLine="0" w:firstLineChars="0"/>
        <w:rPr>
          <w:rFonts w:hint="eastAsia" w:eastAsia="宋体"/>
          <w:lang w:eastAsia="zh-CN"/>
        </w:rPr>
      </w:pPr>
      <w:r>
        <w:rPr>
          <w:rFonts w:hint="eastAsia"/>
          <w:lang w:eastAsia="zh-CN"/>
        </w:rPr>
        <w:t>标段二</w:t>
      </w:r>
    </w:p>
    <w:p>
      <w:pPr>
        <w:jc w:val="center"/>
      </w:pPr>
      <w:r>
        <w:rPr>
          <w:rFonts w:hint="eastAsia" w:ascii="黑体" w:hAnsi="黑体" w:eastAsia="黑体" w:cs="黑体"/>
          <w:sz w:val="44"/>
          <w:szCs w:val="44"/>
        </w:rPr>
        <w:t>报 价 单</w:t>
      </w:r>
    </w:p>
    <w:p>
      <w:pPr>
        <w:rPr>
          <w:rFonts w:asciiTheme="minorEastAsia" w:hAnsiTheme="minorEastAsia"/>
          <w:sz w:val="22"/>
          <w:szCs w:val="22"/>
        </w:rPr>
      </w:pPr>
      <w:r>
        <w:rPr>
          <w:rFonts w:hint="eastAsia" w:asciiTheme="minorEastAsia" w:hAnsiTheme="minorEastAsia"/>
          <w:sz w:val="22"/>
          <w:szCs w:val="22"/>
        </w:rPr>
        <w:t>安徽中冶淮海装配式建筑有限公司：</w:t>
      </w:r>
    </w:p>
    <w:p>
      <w:pPr>
        <w:ind w:firstLine="440" w:firstLineChars="200"/>
      </w:pPr>
      <w:r>
        <w:rPr>
          <w:rFonts w:hint="eastAsia" w:asciiTheme="minorEastAsia" w:hAnsiTheme="minorEastAsia"/>
          <w:sz w:val="22"/>
          <w:szCs w:val="22"/>
        </w:rPr>
        <w:t>我单位已全面研究</w:t>
      </w:r>
      <w:r>
        <w:rPr>
          <w:rFonts w:hint="eastAsia" w:asciiTheme="minorEastAsia" w:hAnsiTheme="minorEastAsia"/>
          <w:sz w:val="22"/>
          <w:szCs w:val="22"/>
          <w:u w:val="single"/>
        </w:rPr>
        <w:t xml:space="preserve">     预制构件劳务作业    </w:t>
      </w:r>
      <w:r>
        <w:rPr>
          <w:rFonts w:hint="eastAsia" w:asciiTheme="minorEastAsia" w:hAnsiTheme="minorEastAsia"/>
          <w:sz w:val="22"/>
          <w:szCs w:val="22"/>
        </w:rPr>
        <w:t>竞价文件，并熟知竞价文件的各项规定，我方同意按竞价文件规定的全部条件进行报价，报价如下：</w:t>
      </w:r>
    </w:p>
    <w:tbl>
      <w:tblPr>
        <w:tblStyle w:val="14"/>
        <w:tblW w:w="8407" w:type="dxa"/>
        <w:jc w:val="center"/>
        <w:tblLayout w:type="fixed"/>
        <w:tblCellMar>
          <w:top w:w="0" w:type="dxa"/>
          <w:left w:w="10" w:type="dxa"/>
          <w:bottom w:w="0" w:type="dxa"/>
          <w:right w:w="10" w:type="dxa"/>
        </w:tblCellMar>
      </w:tblPr>
      <w:tblGrid>
        <w:gridCol w:w="624"/>
        <w:gridCol w:w="1884"/>
        <w:gridCol w:w="1081"/>
        <w:gridCol w:w="1193"/>
        <w:gridCol w:w="1401"/>
        <w:gridCol w:w="1112"/>
        <w:gridCol w:w="1112"/>
      </w:tblGrid>
      <w:tr>
        <w:tblPrEx>
          <w:tblCellMar>
            <w:top w:w="0" w:type="dxa"/>
            <w:left w:w="10" w:type="dxa"/>
            <w:bottom w:w="0" w:type="dxa"/>
            <w:right w:w="10" w:type="dxa"/>
          </w:tblCellMar>
        </w:tblPrEx>
        <w:trPr>
          <w:trHeight w:val="700" w:hRule="atLeast"/>
          <w:jc w:val="center"/>
        </w:trPr>
        <w:tc>
          <w:tcPr>
            <w:tcW w:w="624" w:type="dxa"/>
            <w:tcBorders>
              <w:top w:val="single" w:color="auto" w:sz="4" w:space="0"/>
              <w:left w:val="single" w:color="auto" w:sz="4" w:space="0"/>
            </w:tcBorders>
            <w:shd w:val="clear" w:color="auto" w:fill="FFFFFF"/>
            <w:vAlign w:val="center"/>
          </w:tcPr>
          <w:p>
            <w:pPr>
              <w:spacing w:line="560" w:lineRule="exact"/>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序号</w:t>
            </w:r>
          </w:p>
        </w:tc>
        <w:tc>
          <w:tcPr>
            <w:tcW w:w="1884" w:type="dxa"/>
            <w:tcBorders>
              <w:top w:val="single" w:color="auto" w:sz="4" w:space="0"/>
              <w:left w:val="single" w:color="auto" w:sz="4" w:space="0"/>
            </w:tcBorders>
            <w:shd w:val="clear" w:color="auto" w:fill="FFFFFF"/>
            <w:vAlign w:val="center"/>
          </w:tcPr>
          <w:p>
            <w:pPr>
              <w:spacing w:line="560" w:lineRule="exact"/>
              <w:ind w:firstLine="480" w:firstLineChars="200"/>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构件名称</w:t>
            </w:r>
          </w:p>
        </w:tc>
        <w:tc>
          <w:tcPr>
            <w:tcW w:w="1081" w:type="dxa"/>
            <w:tcBorders>
              <w:top w:val="single" w:color="auto" w:sz="4" w:space="0"/>
              <w:left w:val="single" w:color="auto" w:sz="4" w:space="0"/>
            </w:tcBorders>
            <w:shd w:val="clear" w:color="auto" w:fill="FFFFFF"/>
            <w:vAlign w:val="center"/>
          </w:tcPr>
          <w:p>
            <w:pPr>
              <w:spacing w:line="560" w:lineRule="exact"/>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单位</w:t>
            </w:r>
          </w:p>
        </w:tc>
        <w:tc>
          <w:tcPr>
            <w:tcW w:w="1193" w:type="dxa"/>
            <w:tcBorders>
              <w:top w:val="single" w:color="auto" w:sz="4" w:space="0"/>
              <w:left w:val="single" w:color="auto" w:sz="4" w:space="0"/>
              <w:right w:val="single" w:color="auto" w:sz="4" w:space="0"/>
            </w:tcBorders>
            <w:shd w:val="clear" w:color="auto" w:fill="FFFFFF"/>
            <w:vAlign w:val="center"/>
          </w:tcPr>
          <w:p>
            <w:pPr>
              <w:spacing w:line="400" w:lineRule="exact"/>
              <w:jc w:val="left"/>
            </w:pPr>
            <w:r>
              <w:rPr>
                <w:rFonts w:hint="eastAsia" w:asciiTheme="minorEastAsia" w:hAnsiTheme="minorEastAsia" w:eastAsiaTheme="minorEastAsia" w:cstheme="minorEastAsia"/>
                <w:kern w:val="0"/>
                <w:sz w:val="24"/>
              </w:rPr>
              <w:t>构件占比</w:t>
            </w:r>
          </w:p>
        </w:tc>
        <w:tc>
          <w:tcPr>
            <w:tcW w:w="1401" w:type="dxa"/>
            <w:tcBorders>
              <w:top w:val="single" w:color="auto" w:sz="4" w:space="0"/>
              <w:left w:val="single" w:color="auto" w:sz="4" w:space="0"/>
              <w:right w:val="single" w:color="auto" w:sz="4" w:space="0"/>
            </w:tcBorders>
            <w:shd w:val="clear" w:color="auto" w:fill="FFFFFF"/>
            <w:vAlign w:val="center"/>
          </w:tcPr>
          <w:p>
            <w:pPr>
              <w:spacing w:line="560" w:lineRule="exact"/>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控制价</w:t>
            </w:r>
          </w:p>
        </w:tc>
        <w:tc>
          <w:tcPr>
            <w:tcW w:w="1112" w:type="dxa"/>
            <w:tcBorders>
              <w:top w:val="single" w:color="auto" w:sz="4" w:space="0"/>
              <w:left w:val="single" w:color="auto" w:sz="4" w:space="0"/>
              <w:right w:val="single" w:color="auto" w:sz="4" w:space="0"/>
            </w:tcBorders>
            <w:shd w:val="clear" w:color="auto" w:fill="FFFFFF"/>
            <w:vAlign w:val="center"/>
          </w:tcPr>
          <w:p>
            <w:pPr>
              <w:spacing w:line="560" w:lineRule="exact"/>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综合报价</w:t>
            </w:r>
          </w:p>
        </w:tc>
        <w:tc>
          <w:tcPr>
            <w:tcW w:w="1112" w:type="dxa"/>
            <w:tcBorders>
              <w:top w:val="single" w:color="auto" w:sz="4" w:space="0"/>
              <w:left w:val="single" w:color="auto" w:sz="4" w:space="0"/>
              <w:right w:val="single" w:color="auto" w:sz="4" w:space="0"/>
            </w:tcBorders>
            <w:shd w:val="clear" w:color="auto" w:fill="FFFFFF"/>
          </w:tcPr>
          <w:p>
            <w:pPr>
              <w:spacing w:line="560" w:lineRule="exact"/>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16"/>
                <w:szCs w:val="16"/>
              </w:rPr>
              <w:t>综合报价</w:t>
            </w:r>
            <w:r>
              <w:rPr>
                <w:rFonts w:asciiTheme="minorEastAsia" w:hAnsiTheme="minorEastAsia" w:eastAsiaTheme="minorEastAsia" w:cstheme="minorEastAsia"/>
                <w:kern w:val="0"/>
                <w:sz w:val="16"/>
                <w:szCs w:val="16"/>
              </w:rPr>
              <w:t>*</w:t>
            </w:r>
            <w:r>
              <w:rPr>
                <w:rFonts w:hint="eastAsia" w:asciiTheme="minorEastAsia" w:hAnsiTheme="minorEastAsia" w:eastAsiaTheme="minorEastAsia" w:cstheme="minorEastAsia"/>
                <w:kern w:val="0"/>
                <w:sz w:val="16"/>
                <w:szCs w:val="16"/>
              </w:rPr>
              <w:t>构件占比</w:t>
            </w:r>
          </w:p>
        </w:tc>
      </w:tr>
      <w:tr>
        <w:tblPrEx>
          <w:tblCellMar>
            <w:top w:w="0" w:type="dxa"/>
            <w:left w:w="10" w:type="dxa"/>
            <w:bottom w:w="0" w:type="dxa"/>
            <w:right w:w="10" w:type="dxa"/>
          </w:tblCellMar>
        </w:tblPrEx>
        <w:trPr>
          <w:trHeight w:val="700" w:hRule="atLeast"/>
          <w:jc w:val="center"/>
        </w:trPr>
        <w:tc>
          <w:tcPr>
            <w:tcW w:w="624" w:type="dxa"/>
            <w:tcBorders>
              <w:top w:val="single" w:color="auto" w:sz="4" w:space="0"/>
              <w:left w:val="single" w:color="auto" w:sz="4" w:space="0"/>
            </w:tcBorders>
            <w:shd w:val="clear" w:color="auto" w:fill="FFFFFF"/>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1</w:t>
            </w:r>
          </w:p>
        </w:tc>
        <w:tc>
          <w:tcPr>
            <w:tcW w:w="1884" w:type="dxa"/>
            <w:tcBorders>
              <w:top w:val="single" w:color="auto" w:sz="4" w:space="0"/>
              <w:left w:val="single" w:color="auto" w:sz="4" w:space="0"/>
            </w:tcBorders>
            <w:shd w:val="clear" w:color="auto" w:fill="FFFFFF"/>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预制叠合板</w:t>
            </w:r>
          </w:p>
        </w:tc>
        <w:tc>
          <w:tcPr>
            <w:tcW w:w="1081" w:type="dxa"/>
            <w:tcBorders>
              <w:top w:val="single" w:color="auto" w:sz="4" w:space="0"/>
              <w:left w:val="single" w:color="auto" w:sz="4" w:space="0"/>
            </w:tcBorders>
            <w:shd w:val="clear" w:color="auto" w:fill="FFFFFF"/>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M³</w:t>
            </w:r>
          </w:p>
        </w:tc>
        <w:tc>
          <w:tcPr>
            <w:tcW w:w="1193" w:type="dxa"/>
            <w:tcBorders>
              <w:top w:val="single" w:color="auto" w:sz="4" w:space="0"/>
              <w:left w:val="single" w:color="auto" w:sz="4" w:space="0"/>
              <w:right w:val="single" w:color="auto" w:sz="4" w:space="0"/>
            </w:tcBorders>
            <w:shd w:val="clear" w:color="auto" w:fill="FFFFFF"/>
            <w:vAlign w:val="center"/>
          </w:tcPr>
          <w:p>
            <w:pPr>
              <w:spacing w:line="560" w:lineRule="exact"/>
              <w:jc w:val="center"/>
              <w:rPr>
                <w:sz w:val="28"/>
                <w:szCs w:val="36"/>
              </w:rPr>
            </w:pPr>
            <w:r>
              <w:rPr>
                <w:rFonts w:hint="eastAsia"/>
                <w:sz w:val="28"/>
                <w:szCs w:val="36"/>
              </w:rPr>
              <w:t>1</w:t>
            </w:r>
            <w:r>
              <w:rPr>
                <w:rFonts w:hint="eastAsia"/>
                <w:sz w:val="28"/>
                <w:szCs w:val="36"/>
                <w:lang w:val="en-US" w:eastAsia="zh-CN"/>
              </w:rPr>
              <w:t>8</w:t>
            </w:r>
            <w:r>
              <w:rPr>
                <w:rFonts w:hint="eastAsia"/>
                <w:sz w:val="28"/>
                <w:szCs w:val="36"/>
              </w:rPr>
              <w:t>%</w:t>
            </w:r>
          </w:p>
        </w:tc>
        <w:tc>
          <w:tcPr>
            <w:tcW w:w="1401" w:type="dxa"/>
            <w:tcBorders>
              <w:top w:val="single" w:color="auto" w:sz="4" w:space="0"/>
              <w:left w:val="single" w:color="auto" w:sz="4" w:space="0"/>
              <w:right w:val="single" w:color="auto" w:sz="4" w:space="0"/>
            </w:tcBorders>
            <w:shd w:val="clear" w:color="auto" w:fill="FFFFFF"/>
            <w:vAlign w:val="center"/>
          </w:tcPr>
          <w:p>
            <w:pPr>
              <w:spacing w:line="560" w:lineRule="exact"/>
              <w:ind w:firstLine="560" w:firstLineChars="200"/>
              <w:jc w:val="left"/>
              <w:rPr>
                <w:sz w:val="28"/>
                <w:szCs w:val="36"/>
              </w:rPr>
            </w:pPr>
            <w:r>
              <w:rPr>
                <w:rFonts w:hint="eastAsia"/>
                <w:sz w:val="28"/>
                <w:szCs w:val="36"/>
                <w:lang w:val="en-US" w:eastAsia="zh-CN"/>
              </w:rPr>
              <w:t>350</w:t>
            </w:r>
          </w:p>
        </w:tc>
        <w:tc>
          <w:tcPr>
            <w:tcW w:w="1112" w:type="dxa"/>
            <w:tcBorders>
              <w:top w:val="single" w:color="auto" w:sz="4" w:space="0"/>
              <w:left w:val="single" w:color="auto" w:sz="4" w:space="0"/>
              <w:right w:val="single" w:color="auto" w:sz="4" w:space="0"/>
            </w:tcBorders>
            <w:shd w:val="clear" w:color="auto" w:fill="FFFFFF"/>
            <w:vAlign w:val="center"/>
          </w:tcPr>
          <w:p>
            <w:pPr>
              <w:spacing w:line="560" w:lineRule="exact"/>
              <w:ind w:firstLine="420" w:firstLineChars="200"/>
              <w:jc w:val="left"/>
            </w:pPr>
          </w:p>
        </w:tc>
        <w:tc>
          <w:tcPr>
            <w:tcW w:w="1112" w:type="dxa"/>
            <w:tcBorders>
              <w:top w:val="single" w:color="auto" w:sz="4" w:space="0"/>
              <w:left w:val="single" w:color="auto" w:sz="4" w:space="0"/>
              <w:right w:val="single" w:color="auto" w:sz="4" w:space="0"/>
            </w:tcBorders>
            <w:shd w:val="clear" w:color="auto" w:fill="FFFFFF"/>
          </w:tcPr>
          <w:p>
            <w:pPr>
              <w:spacing w:line="560" w:lineRule="exact"/>
              <w:ind w:firstLine="420" w:firstLineChars="200"/>
              <w:jc w:val="left"/>
            </w:pPr>
          </w:p>
        </w:tc>
      </w:tr>
      <w:tr>
        <w:tblPrEx>
          <w:tblCellMar>
            <w:top w:w="0" w:type="dxa"/>
            <w:left w:w="10" w:type="dxa"/>
            <w:bottom w:w="0" w:type="dxa"/>
            <w:right w:w="10" w:type="dxa"/>
          </w:tblCellMar>
        </w:tblPrEx>
        <w:trPr>
          <w:trHeight w:val="700" w:hRule="atLeast"/>
          <w:jc w:val="center"/>
        </w:trPr>
        <w:tc>
          <w:tcPr>
            <w:tcW w:w="624" w:type="dxa"/>
            <w:tcBorders>
              <w:top w:val="single" w:color="auto" w:sz="4" w:space="0"/>
              <w:left w:val="single" w:color="auto" w:sz="4" w:space="0"/>
            </w:tcBorders>
            <w:shd w:val="clear" w:color="auto" w:fill="FFFFFF"/>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2</w:t>
            </w:r>
          </w:p>
        </w:tc>
        <w:tc>
          <w:tcPr>
            <w:tcW w:w="1884" w:type="dxa"/>
            <w:tcBorders>
              <w:top w:val="single" w:color="auto" w:sz="4" w:space="0"/>
              <w:left w:val="single" w:color="auto" w:sz="4" w:space="0"/>
            </w:tcBorders>
            <w:shd w:val="clear" w:color="auto" w:fill="FFFFFF"/>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预制楼梯</w:t>
            </w:r>
          </w:p>
        </w:tc>
        <w:tc>
          <w:tcPr>
            <w:tcW w:w="1081" w:type="dxa"/>
            <w:tcBorders>
              <w:top w:val="single" w:color="auto" w:sz="4" w:space="0"/>
              <w:left w:val="single" w:color="auto" w:sz="4" w:space="0"/>
            </w:tcBorders>
            <w:shd w:val="clear" w:color="auto" w:fill="FFFFFF"/>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M³</w:t>
            </w:r>
          </w:p>
        </w:tc>
        <w:tc>
          <w:tcPr>
            <w:tcW w:w="1193" w:type="dxa"/>
            <w:tcBorders>
              <w:top w:val="single" w:color="auto" w:sz="4" w:space="0"/>
              <w:left w:val="single" w:color="auto" w:sz="4" w:space="0"/>
              <w:right w:val="single" w:color="auto" w:sz="4" w:space="0"/>
            </w:tcBorders>
            <w:shd w:val="clear" w:color="auto" w:fill="FFFFFF"/>
            <w:vAlign w:val="center"/>
          </w:tcPr>
          <w:p>
            <w:pPr>
              <w:spacing w:line="560" w:lineRule="exact"/>
              <w:jc w:val="center"/>
              <w:rPr>
                <w:sz w:val="28"/>
                <w:szCs w:val="36"/>
              </w:rPr>
            </w:pPr>
            <w:r>
              <w:rPr>
                <w:rFonts w:hint="eastAsia"/>
                <w:sz w:val="28"/>
                <w:szCs w:val="36"/>
              </w:rPr>
              <w:t>3%</w:t>
            </w:r>
          </w:p>
        </w:tc>
        <w:tc>
          <w:tcPr>
            <w:tcW w:w="1401" w:type="dxa"/>
            <w:tcBorders>
              <w:top w:val="single" w:color="auto" w:sz="4" w:space="0"/>
              <w:left w:val="single" w:color="auto" w:sz="4" w:space="0"/>
              <w:right w:val="single" w:color="auto" w:sz="4" w:space="0"/>
            </w:tcBorders>
            <w:shd w:val="clear" w:color="auto" w:fill="FFFFFF"/>
            <w:vAlign w:val="center"/>
          </w:tcPr>
          <w:p>
            <w:pPr>
              <w:spacing w:line="560" w:lineRule="exact"/>
              <w:ind w:firstLine="560" w:firstLineChars="200"/>
              <w:jc w:val="left"/>
              <w:rPr>
                <w:sz w:val="28"/>
                <w:szCs w:val="36"/>
              </w:rPr>
            </w:pPr>
            <w:r>
              <w:rPr>
                <w:rFonts w:hint="eastAsia"/>
                <w:sz w:val="28"/>
                <w:szCs w:val="36"/>
                <w:lang w:val="en-US" w:eastAsia="zh-CN"/>
              </w:rPr>
              <w:t>365</w:t>
            </w:r>
          </w:p>
        </w:tc>
        <w:tc>
          <w:tcPr>
            <w:tcW w:w="1112" w:type="dxa"/>
            <w:tcBorders>
              <w:top w:val="single" w:color="auto" w:sz="4" w:space="0"/>
              <w:left w:val="single" w:color="auto" w:sz="4" w:space="0"/>
              <w:right w:val="single" w:color="auto" w:sz="4" w:space="0"/>
            </w:tcBorders>
            <w:shd w:val="clear" w:color="auto" w:fill="FFFFFF"/>
            <w:vAlign w:val="center"/>
          </w:tcPr>
          <w:p>
            <w:pPr>
              <w:spacing w:line="560" w:lineRule="exact"/>
              <w:ind w:firstLine="420" w:firstLineChars="200"/>
              <w:jc w:val="left"/>
            </w:pPr>
          </w:p>
        </w:tc>
        <w:tc>
          <w:tcPr>
            <w:tcW w:w="1112" w:type="dxa"/>
            <w:tcBorders>
              <w:top w:val="single" w:color="auto" w:sz="4" w:space="0"/>
              <w:left w:val="single" w:color="auto" w:sz="4" w:space="0"/>
              <w:right w:val="single" w:color="auto" w:sz="4" w:space="0"/>
            </w:tcBorders>
            <w:shd w:val="clear" w:color="auto" w:fill="FFFFFF"/>
          </w:tcPr>
          <w:p>
            <w:pPr>
              <w:spacing w:line="560" w:lineRule="exact"/>
              <w:ind w:firstLine="420" w:firstLineChars="200"/>
              <w:jc w:val="left"/>
            </w:pPr>
          </w:p>
        </w:tc>
      </w:tr>
      <w:tr>
        <w:tblPrEx>
          <w:tblCellMar>
            <w:top w:w="0" w:type="dxa"/>
            <w:left w:w="10" w:type="dxa"/>
            <w:bottom w:w="0" w:type="dxa"/>
            <w:right w:w="10" w:type="dxa"/>
          </w:tblCellMar>
        </w:tblPrEx>
        <w:trPr>
          <w:trHeight w:val="700" w:hRule="atLeast"/>
          <w:jc w:val="center"/>
        </w:trPr>
        <w:tc>
          <w:tcPr>
            <w:tcW w:w="624"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3</w:t>
            </w:r>
          </w:p>
        </w:tc>
        <w:tc>
          <w:tcPr>
            <w:tcW w:w="1884"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预制叠合梁</w:t>
            </w:r>
          </w:p>
        </w:tc>
        <w:tc>
          <w:tcPr>
            <w:tcW w:w="1081"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M³</w:t>
            </w:r>
          </w:p>
        </w:tc>
        <w:tc>
          <w:tcPr>
            <w:tcW w:w="1193" w:type="dxa"/>
            <w:tcBorders>
              <w:top w:val="single" w:color="auto" w:sz="4" w:space="0"/>
              <w:left w:val="single" w:color="auto" w:sz="4" w:space="0"/>
              <w:right w:val="single" w:color="auto" w:sz="4" w:space="0"/>
            </w:tcBorders>
            <w:shd w:val="clear" w:color="auto" w:fill="FFFFFF"/>
            <w:vAlign w:val="center"/>
          </w:tcPr>
          <w:p>
            <w:pPr>
              <w:spacing w:line="560" w:lineRule="exact"/>
              <w:jc w:val="center"/>
              <w:rPr>
                <w:sz w:val="28"/>
                <w:szCs w:val="36"/>
              </w:rPr>
            </w:pPr>
            <w:r>
              <w:rPr>
                <w:rFonts w:hint="eastAsia"/>
                <w:sz w:val="28"/>
                <w:szCs w:val="36"/>
              </w:rPr>
              <w:t>3%</w:t>
            </w:r>
          </w:p>
        </w:tc>
        <w:tc>
          <w:tcPr>
            <w:tcW w:w="1401" w:type="dxa"/>
            <w:tcBorders>
              <w:top w:val="single" w:color="auto" w:sz="4" w:space="0"/>
              <w:left w:val="single" w:color="auto" w:sz="4" w:space="0"/>
              <w:right w:val="single" w:color="auto" w:sz="4" w:space="0"/>
            </w:tcBorders>
            <w:shd w:val="clear" w:color="auto" w:fill="FFFFFF"/>
            <w:vAlign w:val="center"/>
          </w:tcPr>
          <w:p>
            <w:pPr>
              <w:spacing w:line="560" w:lineRule="exact"/>
              <w:ind w:firstLine="560" w:firstLineChars="200"/>
              <w:jc w:val="left"/>
              <w:rPr>
                <w:sz w:val="28"/>
                <w:szCs w:val="36"/>
              </w:rPr>
            </w:pPr>
            <w:r>
              <w:rPr>
                <w:rFonts w:hint="eastAsia"/>
                <w:sz w:val="28"/>
                <w:szCs w:val="36"/>
                <w:lang w:val="en-US" w:eastAsia="zh-CN"/>
              </w:rPr>
              <w:t>490</w:t>
            </w:r>
          </w:p>
        </w:tc>
        <w:tc>
          <w:tcPr>
            <w:tcW w:w="1112" w:type="dxa"/>
            <w:tcBorders>
              <w:top w:val="single" w:color="auto" w:sz="4" w:space="0"/>
              <w:left w:val="single" w:color="auto" w:sz="4" w:space="0"/>
              <w:right w:val="single" w:color="auto" w:sz="4" w:space="0"/>
            </w:tcBorders>
            <w:shd w:val="clear" w:color="auto" w:fill="FFFFFF"/>
            <w:vAlign w:val="center"/>
          </w:tcPr>
          <w:p>
            <w:pPr>
              <w:spacing w:line="560" w:lineRule="exact"/>
              <w:ind w:firstLine="420" w:firstLineChars="200"/>
              <w:jc w:val="left"/>
            </w:pPr>
          </w:p>
        </w:tc>
        <w:tc>
          <w:tcPr>
            <w:tcW w:w="1112" w:type="dxa"/>
            <w:tcBorders>
              <w:top w:val="single" w:color="auto" w:sz="4" w:space="0"/>
              <w:left w:val="single" w:color="auto" w:sz="4" w:space="0"/>
              <w:right w:val="single" w:color="auto" w:sz="4" w:space="0"/>
            </w:tcBorders>
            <w:shd w:val="clear" w:color="auto" w:fill="FFFFFF"/>
          </w:tcPr>
          <w:p>
            <w:pPr>
              <w:spacing w:line="560" w:lineRule="exact"/>
              <w:ind w:firstLine="420" w:firstLineChars="200"/>
              <w:jc w:val="left"/>
            </w:pPr>
          </w:p>
        </w:tc>
      </w:tr>
      <w:tr>
        <w:tblPrEx>
          <w:tblCellMar>
            <w:top w:w="0" w:type="dxa"/>
            <w:left w:w="10" w:type="dxa"/>
            <w:bottom w:w="0" w:type="dxa"/>
            <w:right w:w="10" w:type="dxa"/>
          </w:tblCellMar>
        </w:tblPrEx>
        <w:trPr>
          <w:trHeight w:val="700" w:hRule="atLeast"/>
          <w:jc w:val="center"/>
        </w:trPr>
        <w:tc>
          <w:tcPr>
            <w:tcW w:w="624"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4</w:t>
            </w:r>
          </w:p>
        </w:tc>
        <w:tc>
          <w:tcPr>
            <w:tcW w:w="1884"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预制保温夹心外墙</w:t>
            </w:r>
          </w:p>
        </w:tc>
        <w:tc>
          <w:tcPr>
            <w:tcW w:w="1081"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M³</w:t>
            </w:r>
          </w:p>
        </w:tc>
        <w:tc>
          <w:tcPr>
            <w:tcW w:w="1193" w:type="dxa"/>
            <w:tcBorders>
              <w:top w:val="single" w:color="auto" w:sz="4" w:space="0"/>
              <w:left w:val="single" w:color="auto" w:sz="4" w:space="0"/>
              <w:right w:val="single" w:color="auto" w:sz="4" w:space="0"/>
            </w:tcBorders>
            <w:shd w:val="clear" w:color="auto" w:fill="FFFFFF"/>
            <w:vAlign w:val="center"/>
          </w:tcPr>
          <w:p>
            <w:pPr>
              <w:spacing w:line="560" w:lineRule="exact"/>
              <w:jc w:val="center"/>
              <w:rPr>
                <w:sz w:val="28"/>
                <w:szCs w:val="36"/>
              </w:rPr>
            </w:pPr>
            <w:r>
              <w:rPr>
                <w:rFonts w:hint="eastAsia"/>
                <w:sz w:val="28"/>
                <w:szCs w:val="36"/>
              </w:rPr>
              <w:t>45%</w:t>
            </w:r>
          </w:p>
        </w:tc>
        <w:tc>
          <w:tcPr>
            <w:tcW w:w="1401" w:type="dxa"/>
            <w:tcBorders>
              <w:top w:val="single" w:color="auto" w:sz="4" w:space="0"/>
              <w:left w:val="single" w:color="auto" w:sz="4" w:space="0"/>
              <w:right w:val="single" w:color="auto" w:sz="4" w:space="0"/>
            </w:tcBorders>
            <w:shd w:val="clear" w:color="auto" w:fill="FFFFFF"/>
            <w:vAlign w:val="center"/>
          </w:tcPr>
          <w:p>
            <w:pPr>
              <w:spacing w:line="560" w:lineRule="exact"/>
              <w:ind w:firstLine="560" w:firstLineChars="200"/>
              <w:jc w:val="left"/>
              <w:rPr>
                <w:sz w:val="28"/>
                <w:szCs w:val="36"/>
              </w:rPr>
            </w:pPr>
            <w:r>
              <w:rPr>
                <w:rFonts w:hint="eastAsia"/>
                <w:sz w:val="28"/>
                <w:szCs w:val="36"/>
                <w:lang w:val="en-US" w:eastAsia="zh-CN"/>
              </w:rPr>
              <w:t>555</w:t>
            </w:r>
          </w:p>
        </w:tc>
        <w:tc>
          <w:tcPr>
            <w:tcW w:w="1112" w:type="dxa"/>
            <w:tcBorders>
              <w:top w:val="single" w:color="auto" w:sz="4" w:space="0"/>
              <w:left w:val="single" w:color="auto" w:sz="4" w:space="0"/>
              <w:right w:val="single" w:color="auto" w:sz="4" w:space="0"/>
            </w:tcBorders>
            <w:shd w:val="clear" w:color="auto" w:fill="FFFFFF"/>
            <w:vAlign w:val="center"/>
          </w:tcPr>
          <w:p>
            <w:pPr>
              <w:spacing w:line="560" w:lineRule="exact"/>
              <w:ind w:firstLine="420" w:firstLineChars="200"/>
              <w:jc w:val="left"/>
            </w:pPr>
          </w:p>
        </w:tc>
        <w:tc>
          <w:tcPr>
            <w:tcW w:w="1112" w:type="dxa"/>
            <w:tcBorders>
              <w:top w:val="single" w:color="auto" w:sz="4" w:space="0"/>
              <w:left w:val="single" w:color="auto" w:sz="4" w:space="0"/>
              <w:right w:val="single" w:color="auto" w:sz="4" w:space="0"/>
            </w:tcBorders>
            <w:shd w:val="clear" w:color="auto" w:fill="FFFFFF"/>
          </w:tcPr>
          <w:p>
            <w:pPr>
              <w:spacing w:line="560" w:lineRule="exact"/>
              <w:ind w:firstLine="420" w:firstLineChars="200"/>
              <w:jc w:val="left"/>
            </w:pPr>
          </w:p>
        </w:tc>
      </w:tr>
      <w:tr>
        <w:tblPrEx>
          <w:tblCellMar>
            <w:top w:w="0" w:type="dxa"/>
            <w:left w:w="10" w:type="dxa"/>
            <w:bottom w:w="0" w:type="dxa"/>
            <w:right w:w="10" w:type="dxa"/>
          </w:tblCellMar>
        </w:tblPrEx>
        <w:trPr>
          <w:trHeight w:val="700" w:hRule="atLeast"/>
          <w:jc w:val="center"/>
        </w:trPr>
        <w:tc>
          <w:tcPr>
            <w:tcW w:w="624"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5</w:t>
            </w:r>
          </w:p>
        </w:tc>
        <w:tc>
          <w:tcPr>
            <w:tcW w:w="1884"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预制外墙板</w:t>
            </w:r>
          </w:p>
        </w:tc>
        <w:tc>
          <w:tcPr>
            <w:tcW w:w="1081"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M³</w:t>
            </w:r>
          </w:p>
        </w:tc>
        <w:tc>
          <w:tcPr>
            <w:tcW w:w="1193" w:type="dxa"/>
            <w:tcBorders>
              <w:top w:val="single" w:color="auto" w:sz="4" w:space="0"/>
              <w:left w:val="single" w:color="auto" w:sz="4" w:space="0"/>
              <w:right w:val="single" w:color="auto" w:sz="4" w:space="0"/>
            </w:tcBorders>
            <w:shd w:val="clear" w:color="auto" w:fill="FFFFFF"/>
            <w:vAlign w:val="center"/>
          </w:tcPr>
          <w:p>
            <w:pPr>
              <w:spacing w:line="560" w:lineRule="exact"/>
              <w:jc w:val="center"/>
              <w:rPr>
                <w:sz w:val="28"/>
                <w:szCs w:val="36"/>
              </w:rPr>
            </w:pPr>
            <w:r>
              <w:rPr>
                <w:rFonts w:hint="eastAsia"/>
                <w:sz w:val="28"/>
                <w:szCs w:val="36"/>
              </w:rPr>
              <w:t>15%</w:t>
            </w:r>
          </w:p>
        </w:tc>
        <w:tc>
          <w:tcPr>
            <w:tcW w:w="1401" w:type="dxa"/>
            <w:tcBorders>
              <w:top w:val="single" w:color="auto" w:sz="4" w:space="0"/>
              <w:left w:val="single" w:color="auto" w:sz="4" w:space="0"/>
              <w:right w:val="single" w:color="auto" w:sz="4" w:space="0"/>
            </w:tcBorders>
            <w:shd w:val="clear" w:color="auto" w:fill="FFFFFF"/>
            <w:vAlign w:val="center"/>
          </w:tcPr>
          <w:p>
            <w:pPr>
              <w:spacing w:line="560" w:lineRule="exact"/>
              <w:ind w:firstLine="560" w:firstLineChars="200"/>
              <w:jc w:val="left"/>
              <w:rPr>
                <w:sz w:val="28"/>
                <w:szCs w:val="36"/>
              </w:rPr>
            </w:pPr>
            <w:r>
              <w:rPr>
                <w:rFonts w:hint="eastAsia"/>
                <w:sz w:val="28"/>
                <w:szCs w:val="36"/>
                <w:lang w:val="en-US" w:eastAsia="zh-CN"/>
              </w:rPr>
              <w:t>495</w:t>
            </w:r>
          </w:p>
        </w:tc>
        <w:tc>
          <w:tcPr>
            <w:tcW w:w="1112" w:type="dxa"/>
            <w:tcBorders>
              <w:top w:val="single" w:color="auto" w:sz="4" w:space="0"/>
              <w:left w:val="single" w:color="auto" w:sz="4" w:space="0"/>
              <w:right w:val="single" w:color="auto" w:sz="4" w:space="0"/>
            </w:tcBorders>
            <w:shd w:val="clear" w:color="auto" w:fill="FFFFFF"/>
            <w:vAlign w:val="center"/>
          </w:tcPr>
          <w:p>
            <w:pPr>
              <w:spacing w:line="560" w:lineRule="exact"/>
              <w:ind w:firstLine="420" w:firstLineChars="200"/>
              <w:jc w:val="left"/>
            </w:pPr>
          </w:p>
        </w:tc>
        <w:tc>
          <w:tcPr>
            <w:tcW w:w="1112" w:type="dxa"/>
            <w:tcBorders>
              <w:top w:val="single" w:color="auto" w:sz="4" w:space="0"/>
              <w:left w:val="single" w:color="auto" w:sz="4" w:space="0"/>
              <w:right w:val="single" w:color="auto" w:sz="4" w:space="0"/>
            </w:tcBorders>
            <w:shd w:val="clear" w:color="auto" w:fill="FFFFFF"/>
          </w:tcPr>
          <w:p>
            <w:pPr>
              <w:spacing w:line="560" w:lineRule="exact"/>
              <w:ind w:firstLine="420" w:firstLineChars="200"/>
              <w:jc w:val="left"/>
            </w:pPr>
          </w:p>
        </w:tc>
      </w:tr>
      <w:tr>
        <w:tblPrEx>
          <w:tblCellMar>
            <w:top w:w="0" w:type="dxa"/>
            <w:left w:w="10" w:type="dxa"/>
            <w:bottom w:w="0" w:type="dxa"/>
            <w:right w:w="10" w:type="dxa"/>
          </w:tblCellMar>
        </w:tblPrEx>
        <w:trPr>
          <w:trHeight w:val="700" w:hRule="atLeast"/>
          <w:jc w:val="center"/>
        </w:trPr>
        <w:tc>
          <w:tcPr>
            <w:tcW w:w="624"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6</w:t>
            </w:r>
          </w:p>
        </w:tc>
        <w:tc>
          <w:tcPr>
            <w:tcW w:w="1884"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预制内墙板</w:t>
            </w:r>
          </w:p>
        </w:tc>
        <w:tc>
          <w:tcPr>
            <w:tcW w:w="1081" w:type="dxa"/>
            <w:tcBorders>
              <w:top w:val="single" w:color="auto" w:sz="4" w:space="0"/>
              <w:left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M³</w:t>
            </w:r>
          </w:p>
        </w:tc>
        <w:tc>
          <w:tcPr>
            <w:tcW w:w="1193" w:type="dxa"/>
            <w:tcBorders>
              <w:top w:val="single" w:color="auto" w:sz="4" w:space="0"/>
              <w:left w:val="single" w:color="auto" w:sz="4" w:space="0"/>
              <w:right w:val="single" w:color="auto" w:sz="4" w:space="0"/>
            </w:tcBorders>
            <w:shd w:val="clear" w:color="auto" w:fill="FFFFFF"/>
            <w:vAlign w:val="center"/>
          </w:tcPr>
          <w:p>
            <w:pPr>
              <w:spacing w:line="560" w:lineRule="exact"/>
              <w:jc w:val="center"/>
              <w:rPr>
                <w:sz w:val="28"/>
                <w:szCs w:val="36"/>
              </w:rPr>
            </w:pPr>
            <w:r>
              <w:rPr>
                <w:rFonts w:hint="eastAsia"/>
                <w:sz w:val="28"/>
                <w:szCs w:val="36"/>
              </w:rPr>
              <w:t>12%</w:t>
            </w:r>
          </w:p>
        </w:tc>
        <w:tc>
          <w:tcPr>
            <w:tcW w:w="1401" w:type="dxa"/>
            <w:tcBorders>
              <w:top w:val="single" w:color="auto" w:sz="4" w:space="0"/>
              <w:left w:val="single" w:color="auto" w:sz="4" w:space="0"/>
              <w:right w:val="single" w:color="auto" w:sz="4" w:space="0"/>
            </w:tcBorders>
            <w:shd w:val="clear" w:color="auto" w:fill="FFFFFF"/>
            <w:vAlign w:val="center"/>
          </w:tcPr>
          <w:p>
            <w:pPr>
              <w:spacing w:line="560" w:lineRule="exact"/>
              <w:ind w:firstLine="560" w:firstLineChars="200"/>
              <w:jc w:val="left"/>
              <w:rPr>
                <w:sz w:val="28"/>
                <w:szCs w:val="36"/>
              </w:rPr>
            </w:pPr>
            <w:r>
              <w:rPr>
                <w:rFonts w:hint="eastAsia"/>
                <w:sz w:val="28"/>
                <w:szCs w:val="36"/>
                <w:lang w:val="en-US" w:eastAsia="zh-CN"/>
              </w:rPr>
              <w:t>465</w:t>
            </w:r>
          </w:p>
        </w:tc>
        <w:tc>
          <w:tcPr>
            <w:tcW w:w="1112" w:type="dxa"/>
            <w:tcBorders>
              <w:top w:val="single" w:color="auto" w:sz="4" w:space="0"/>
              <w:left w:val="single" w:color="auto" w:sz="4" w:space="0"/>
              <w:right w:val="single" w:color="auto" w:sz="4" w:space="0"/>
            </w:tcBorders>
            <w:shd w:val="clear" w:color="auto" w:fill="FFFFFF"/>
            <w:vAlign w:val="center"/>
          </w:tcPr>
          <w:p>
            <w:pPr>
              <w:spacing w:line="560" w:lineRule="exact"/>
              <w:ind w:firstLine="420" w:firstLineChars="200"/>
              <w:jc w:val="left"/>
            </w:pPr>
          </w:p>
        </w:tc>
        <w:tc>
          <w:tcPr>
            <w:tcW w:w="1112" w:type="dxa"/>
            <w:tcBorders>
              <w:top w:val="single" w:color="auto" w:sz="4" w:space="0"/>
              <w:left w:val="single" w:color="auto" w:sz="4" w:space="0"/>
              <w:right w:val="single" w:color="auto" w:sz="4" w:space="0"/>
            </w:tcBorders>
            <w:shd w:val="clear" w:color="auto" w:fill="FFFFFF"/>
          </w:tcPr>
          <w:p>
            <w:pPr>
              <w:spacing w:line="560" w:lineRule="exact"/>
              <w:ind w:firstLine="420" w:firstLineChars="200"/>
              <w:jc w:val="left"/>
            </w:pPr>
          </w:p>
        </w:tc>
      </w:tr>
      <w:tr>
        <w:tblPrEx>
          <w:tblCellMar>
            <w:top w:w="0" w:type="dxa"/>
            <w:left w:w="10" w:type="dxa"/>
            <w:bottom w:w="0" w:type="dxa"/>
            <w:right w:w="10" w:type="dxa"/>
          </w:tblCellMar>
        </w:tblPrEx>
        <w:trPr>
          <w:trHeight w:val="700" w:hRule="atLeast"/>
          <w:jc w:val="center"/>
        </w:trPr>
        <w:tc>
          <w:tcPr>
            <w:tcW w:w="624"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eastAsiaTheme="minorEastAsia"/>
                <w:color w:val="000000"/>
                <w:kern w:val="0"/>
                <w:sz w:val="24"/>
                <w:lang w:bidi="ar"/>
              </w:rPr>
              <w:t>7</w:t>
            </w:r>
          </w:p>
        </w:tc>
        <w:tc>
          <w:tcPr>
            <w:tcW w:w="1884"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预制空调板、阳台、飘窗</w:t>
            </w:r>
          </w:p>
        </w:tc>
        <w:tc>
          <w:tcPr>
            <w:tcW w:w="1081"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M³</w:t>
            </w:r>
          </w:p>
        </w:tc>
        <w:tc>
          <w:tcPr>
            <w:tcW w:w="1193"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560" w:lineRule="exact"/>
              <w:jc w:val="center"/>
              <w:rPr>
                <w:sz w:val="28"/>
                <w:szCs w:val="36"/>
              </w:rPr>
            </w:pPr>
            <w:r>
              <w:rPr>
                <w:rFonts w:hint="eastAsia"/>
                <w:sz w:val="28"/>
                <w:szCs w:val="36"/>
              </w:rPr>
              <w:t>3%</w:t>
            </w:r>
          </w:p>
        </w:tc>
        <w:tc>
          <w:tcPr>
            <w:tcW w:w="1401"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560" w:lineRule="exact"/>
              <w:ind w:firstLine="560" w:firstLineChars="200"/>
              <w:jc w:val="left"/>
              <w:rPr>
                <w:sz w:val="28"/>
                <w:szCs w:val="36"/>
              </w:rPr>
            </w:pPr>
            <w:r>
              <w:rPr>
                <w:rFonts w:hint="eastAsia"/>
                <w:sz w:val="28"/>
                <w:szCs w:val="36"/>
                <w:lang w:val="en-US" w:eastAsia="zh-CN"/>
              </w:rPr>
              <w:t>550</w:t>
            </w:r>
          </w:p>
        </w:tc>
        <w:tc>
          <w:tcPr>
            <w:tcW w:w="1112"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560" w:lineRule="exact"/>
              <w:ind w:firstLine="420" w:firstLineChars="200"/>
              <w:jc w:val="left"/>
            </w:pPr>
          </w:p>
        </w:tc>
        <w:tc>
          <w:tcPr>
            <w:tcW w:w="1112" w:type="dxa"/>
            <w:tcBorders>
              <w:top w:val="single" w:color="auto" w:sz="4" w:space="0"/>
              <w:left w:val="single" w:color="auto" w:sz="4" w:space="0"/>
              <w:bottom w:val="single" w:color="auto" w:sz="4" w:space="0"/>
              <w:right w:val="single" w:color="auto" w:sz="4" w:space="0"/>
            </w:tcBorders>
            <w:shd w:val="clear" w:color="auto" w:fill="FFFFFF"/>
          </w:tcPr>
          <w:p>
            <w:pPr>
              <w:spacing w:line="560" w:lineRule="exact"/>
              <w:ind w:firstLine="420" w:firstLineChars="200"/>
              <w:jc w:val="left"/>
            </w:pPr>
          </w:p>
        </w:tc>
      </w:tr>
      <w:tr>
        <w:tblPrEx>
          <w:tblCellMar>
            <w:top w:w="0" w:type="dxa"/>
            <w:left w:w="10" w:type="dxa"/>
            <w:bottom w:w="0" w:type="dxa"/>
            <w:right w:w="10" w:type="dxa"/>
          </w:tblCellMar>
        </w:tblPrEx>
        <w:trPr>
          <w:trHeight w:val="700" w:hRule="atLeast"/>
          <w:jc w:val="center"/>
        </w:trPr>
        <w:tc>
          <w:tcPr>
            <w:tcW w:w="624"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highlight w:val="yellow"/>
              </w:rPr>
            </w:pPr>
            <w:r>
              <w:rPr>
                <w:rFonts w:hint="eastAsia" w:ascii="宋体" w:hAnsi="宋体" w:cs="宋体" w:eastAsiaTheme="minorEastAsia"/>
                <w:color w:val="000000"/>
                <w:kern w:val="0"/>
                <w:sz w:val="24"/>
                <w:lang w:bidi="ar"/>
              </w:rPr>
              <w:t>8</w:t>
            </w:r>
          </w:p>
        </w:tc>
        <w:tc>
          <w:tcPr>
            <w:tcW w:w="1884"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highlight w:val="yellow"/>
              </w:rPr>
            </w:pPr>
            <w:r>
              <w:rPr>
                <w:rFonts w:hint="eastAsia" w:ascii="宋体" w:hAnsi="宋体" w:cs="宋体"/>
                <w:color w:val="000000"/>
                <w:kern w:val="0"/>
                <w:sz w:val="24"/>
                <w:lang w:bidi="ar"/>
              </w:rPr>
              <w:t>预制PCF板</w:t>
            </w:r>
          </w:p>
        </w:tc>
        <w:tc>
          <w:tcPr>
            <w:tcW w:w="1081"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asciiTheme="minorEastAsia" w:hAnsiTheme="minorEastAsia" w:eastAsiaTheme="minorEastAsia" w:cstheme="minorEastAsia"/>
                <w:kern w:val="0"/>
                <w:sz w:val="24"/>
              </w:rPr>
            </w:pPr>
            <w:r>
              <w:rPr>
                <w:rFonts w:hint="eastAsia" w:ascii="宋体" w:hAnsi="宋体" w:cs="宋体"/>
                <w:color w:val="000000"/>
                <w:kern w:val="0"/>
                <w:sz w:val="24"/>
                <w:lang w:bidi="ar"/>
              </w:rPr>
              <w:t>M³</w:t>
            </w:r>
          </w:p>
        </w:tc>
        <w:tc>
          <w:tcPr>
            <w:tcW w:w="1193"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560" w:lineRule="exact"/>
              <w:jc w:val="center"/>
              <w:rPr>
                <w:sz w:val="28"/>
                <w:szCs w:val="36"/>
              </w:rPr>
            </w:pPr>
            <w:r>
              <w:rPr>
                <w:rFonts w:hint="eastAsia"/>
                <w:sz w:val="28"/>
                <w:szCs w:val="36"/>
              </w:rPr>
              <w:t>1%</w:t>
            </w:r>
          </w:p>
        </w:tc>
        <w:tc>
          <w:tcPr>
            <w:tcW w:w="1401"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560" w:lineRule="exact"/>
              <w:ind w:firstLine="560" w:firstLineChars="200"/>
              <w:jc w:val="left"/>
              <w:rPr>
                <w:sz w:val="28"/>
                <w:szCs w:val="36"/>
              </w:rPr>
            </w:pPr>
            <w:r>
              <w:rPr>
                <w:rFonts w:hint="eastAsia"/>
                <w:sz w:val="28"/>
                <w:szCs w:val="36"/>
                <w:lang w:val="en-US" w:eastAsia="zh-CN"/>
              </w:rPr>
              <w:t>550</w:t>
            </w:r>
          </w:p>
        </w:tc>
        <w:tc>
          <w:tcPr>
            <w:tcW w:w="1112"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560" w:lineRule="exact"/>
              <w:ind w:firstLine="420" w:firstLineChars="200"/>
              <w:jc w:val="left"/>
            </w:pPr>
          </w:p>
        </w:tc>
        <w:tc>
          <w:tcPr>
            <w:tcW w:w="1112" w:type="dxa"/>
            <w:tcBorders>
              <w:top w:val="single" w:color="auto" w:sz="4" w:space="0"/>
              <w:left w:val="single" w:color="auto" w:sz="4" w:space="0"/>
              <w:bottom w:val="single" w:color="auto" w:sz="4" w:space="0"/>
              <w:right w:val="single" w:color="auto" w:sz="4" w:space="0"/>
            </w:tcBorders>
            <w:shd w:val="clear" w:color="auto" w:fill="FFFFFF"/>
          </w:tcPr>
          <w:p>
            <w:pPr>
              <w:spacing w:line="560" w:lineRule="exact"/>
              <w:ind w:firstLine="420" w:firstLineChars="200"/>
              <w:jc w:val="left"/>
            </w:pPr>
          </w:p>
        </w:tc>
      </w:tr>
      <w:tr>
        <w:tblPrEx>
          <w:tblCellMar>
            <w:top w:w="0" w:type="dxa"/>
            <w:left w:w="10" w:type="dxa"/>
            <w:bottom w:w="0" w:type="dxa"/>
            <w:right w:w="10" w:type="dxa"/>
          </w:tblCellMar>
        </w:tblPrEx>
        <w:trPr>
          <w:trHeight w:val="700" w:hRule="atLeast"/>
          <w:jc w:val="center"/>
        </w:trPr>
        <w:tc>
          <w:tcPr>
            <w:tcW w:w="624"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hint="eastAsia" w:ascii="宋体" w:hAnsi="宋体" w:cs="宋体" w:eastAsiaTheme="minorEastAsia"/>
                <w:color w:val="000000"/>
                <w:kern w:val="0"/>
                <w:sz w:val="24"/>
                <w:lang w:bidi="ar"/>
              </w:rPr>
            </w:pPr>
            <w:r>
              <w:rPr>
                <w:rFonts w:hint="eastAsia" w:ascii="宋体" w:hAnsi="宋体" w:cs="宋体" w:eastAsiaTheme="minorEastAsia"/>
                <w:color w:val="000000"/>
                <w:kern w:val="0"/>
                <w:sz w:val="24"/>
                <w:lang w:bidi="ar"/>
              </w:rPr>
              <w:t>9</w:t>
            </w:r>
          </w:p>
        </w:tc>
        <w:tc>
          <w:tcPr>
            <w:tcW w:w="1884"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eastAsia="zh-CN" w:bidi="ar"/>
              </w:rPr>
              <w:t>最终</w:t>
            </w:r>
            <w:r>
              <w:rPr>
                <w:rFonts w:hint="eastAsia" w:ascii="宋体" w:hAnsi="宋体" w:cs="宋体"/>
                <w:color w:val="000000"/>
                <w:kern w:val="0"/>
                <w:sz w:val="24"/>
                <w:lang w:bidi="ar"/>
              </w:rPr>
              <w:t>报价</w:t>
            </w:r>
          </w:p>
        </w:tc>
        <w:tc>
          <w:tcPr>
            <w:tcW w:w="1081" w:type="dxa"/>
            <w:tcBorders>
              <w:top w:val="single" w:color="auto" w:sz="4" w:space="0"/>
              <w:left w:val="single" w:color="auto" w:sz="4" w:space="0"/>
              <w:bottom w:val="single" w:color="auto" w:sz="4" w:space="0"/>
            </w:tcBorders>
            <w:shd w:val="clear" w:color="auto" w:fill="FFFFFF"/>
            <w:vAlign w:val="center"/>
          </w:tcPr>
          <w:p>
            <w:pPr>
              <w:widowControl/>
              <w:jc w:val="center"/>
              <w:textAlignment w:val="center"/>
              <w:rPr>
                <w:rFonts w:hint="eastAsia" w:ascii="宋体" w:hAnsi="宋体" w:cs="宋体"/>
                <w:color w:val="000000"/>
                <w:kern w:val="0"/>
                <w:sz w:val="24"/>
                <w:lang w:bidi="ar"/>
              </w:rPr>
            </w:pPr>
          </w:p>
        </w:tc>
        <w:tc>
          <w:tcPr>
            <w:tcW w:w="1193"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560" w:lineRule="exact"/>
              <w:jc w:val="center"/>
              <w:rPr>
                <w:rFonts w:hint="eastAsia"/>
                <w:sz w:val="28"/>
                <w:szCs w:val="36"/>
              </w:rPr>
            </w:pPr>
          </w:p>
        </w:tc>
        <w:tc>
          <w:tcPr>
            <w:tcW w:w="1401"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560" w:lineRule="exact"/>
              <w:ind w:firstLine="560" w:firstLineChars="200"/>
              <w:jc w:val="left"/>
              <w:rPr>
                <w:rFonts w:hint="eastAsia"/>
                <w:sz w:val="28"/>
                <w:szCs w:val="36"/>
              </w:rPr>
            </w:pPr>
          </w:p>
        </w:tc>
        <w:tc>
          <w:tcPr>
            <w:tcW w:w="1112"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560" w:lineRule="exact"/>
              <w:ind w:firstLine="420" w:firstLineChars="200"/>
              <w:jc w:val="left"/>
            </w:pPr>
            <w:r>
              <w:rPr>
                <w:rFonts w:hint="eastAsia"/>
              </w:rPr>
              <w:t>/</w:t>
            </w:r>
          </w:p>
        </w:tc>
        <w:tc>
          <w:tcPr>
            <w:tcW w:w="1112" w:type="dxa"/>
            <w:tcBorders>
              <w:top w:val="single" w:color="auto" w:sz="4" w:space="0"/>
              <w:left w:val="single" w:color="auto" w:sz="4" w:space="0"/>
              <w:bottom w:val="single" w:color="auto" w:sz="4" w:space="0"/>
              <w:right w:val="single" w:color="auto" w:sz="4" w:space="0"/>
            </w:tcBorders>
            <w:shd w:val="clear" w:color="auto" w:fill="FFFFFF"/>
          </w:tcPr>
          <w:p>
            <w:pPr>
              <w:spacing w:line="560" w:lineRule="exact"/>
              <w:ind w:firstLine="420" w:firstLineChars="200"/>
              <w:jc w:val="left"/>
            </w:pPr>
          </w:p>
        </w:tc>
      </w:tr>
    </w:tbl>
    <w:p>
      <w:r>
        <w:rPr>
          <w:rFonts w:hint="eastAsia"/>
        </w:rPr>
        <w:t>备注：1、以上报价为含税专票价格，含3</w:t>
      </w:r>
      <w:r>
        <w:t>%</w:t>
      </w:r>
      <w:r>
        <w:rPr>
          <w:rFonts w:hint="eastAsia"/>
        </w:rPr>
        <w:t>专票税率。项目生产量暂定，按实结算。</w:t>
      </w:r>
    </w:p>
    <w:p>
      <w:pPr>
        <w:pStyle w:val="17"/>
        <w:ind w:firstLine="630" w:firstLineChars="300"/>
        <w:rPr>
          <w:sz w:val="21"/>
        </w:rPr>
      </w:pPr>
      <w:r>
        <w:rPr>
          <w:rFonts w:hint="eastAsia"/>
          <w:sz w:val="21"/>
        </w:rPr>
        <w:t>2、以上报价为包干价格，一经双方确定，不得以任何理由提出涨价、索赔等要求。</w:t>
      </w:r>
    </w:p>
    <w:p>
      <w:pPr>
        <w:ind w:firstLine="630" w:firstLineChars="300"/>
        <w:rPr>
          <w:rFonts w:hint="eastAsia" w:ascii="Times New Roman" w:hAnsi="Times New Roman"/>
        </w:rPr>
      </w:pPr>
      <w:r>
        <w:rPr>
          <w:rFonts w:hint="eastAsia" w:ascii="Times New Roman" w:hAnsi="Times New Roman"/>
        </w:rPr>
        <w:t>3、最终报价为列表中各项构件综合报价*构件占比之和，即最终报价</w:t>
      </w:r>
      <w:r>
        <w:rPr>
          <w:rFonts w:ascii="Times New Roman" w:hAnsi="Times New Roman"/>
        </w:rPr>
        <w:t>=</w:t>
      </w:r>
      <w:r>
        <w:rPr>
          <w:rFonts w:hint="eastAsia" w:ascii="Times New Roman" w:hAnsi="Times New Roman"/>
        </w:rPr>
        <w:t>叠合板报价*</w:t>
      </w:r>
      <w:r>
        <w:rPr>
          <w:rFonts w:ascii="Times New Roman" w:hAnsi="Times New Roman"/>
        </w:rPr>
        <w:t>1</w:t>
      </w:r>
      <w:r>
        <w:rPr>
          <w:rFonts w:hint="eastAsia" w:ascii="Times New Roman" w:hAnsi="Times New Roman"/>
          <w:lang w:val="en-US" w:eastAsia="zh-CN"/>
        </w:rPr>
        <w:t>8</w:t>
      </w:r>
      <w:r>
        <w:rPr>
          <w:rFonts w:ascii="Times New Roman" w:hAnsi="Times New Roman"/>
        </w:rPr>
        <w:t>%+</w:t>
      </w:r>
      <w:r>
        <w:rPr>
          <w:rFonts w:hint="eastAsia" w:ascii="Times New Roman" w:hAnsi="Times New Roman"/>
        </w:rPr>
        <w:t>楼梯报价*</w:t>
      </w:r>
      <w:r>
        <w:rPr>
          <w:rFonts w:ascii="Times New Roman" w:hAnsi="Times New Roman"/>
        </w:rPr>
        <w:t>3%+</w:t>
      </w:r>
      <w:r>
        <w:rPr>
          <w:rFonts w:hint="eastAsia" w:ascii="Times New Roman" w:hAnsi="Times New Roman"/>
        </w:rPr>
        <w:t>叠合梁报价*</w:t>
      </w:r>
      <w:r>
        <w:rPr>
          <w:rFonts w:ascii="Times New Roman" w:hAnsi="Times New Roman"/>
        </w:rPr>
        <w:t>3%+……</w:t>
      </w:r>
    </w:p>
    <w:p>
      <w:pPr>
        <w:pStyle w:val="17"/>
        <w:ind w:firstLine="0" w:firstLineChars="0"/>
        <w:rPr>
          <w:rFonts w:hint="eastAsia"/>
        </w:rPr>
      </w:pPr>
      <w:r>
        <w:rPr>
          <w:rFonts w:hint="eastAsia"/>
        </w:rPr>
        <w:t xml:space="preserve">                                   </w:t>
      </w:r>
    </w:p>
    <w:p>
      <w:pPr>
        <w:pStyle w:val="17"/>
        <w:ind w:firstLine="0" w:firstLineChars="0"/>
        <w:rPr>
          <w:rFonts w:hint="eastAsia"/>
        </w:rPr>
      </w:pPr>
    </w:p>
    <w:p>
      <w:pPr>
        <w:pStyle w:val="17"/>
        <w:ind w:firstLine="5040" w:firstLineChars="1800"/>
      </w:pPr>
      <w:r>
        <w:rPr>
          <w:rFonts w:hint="eastAsia"/>
        </w:rPr>
        <w:t>报价人：   （公章）</w:t>
      </w:r>
    </w:p>
    <w:p>
      <w:pPr>
        <w:pStyle w:val="17"/>
        <w:ind w:left="0" w:leftChars="0" w:firstLine="5320" w:firstLineChars="1900"/>
        <w:rPr>
          <w:b/>
          <w:bCs/>
        </w:rPr>
      </w:pPr>
      <w:r>
        <w:rPr>
          <w:rFonts w:hint="eastAsia"/>
        </w:rPr>
        <w:t>202</w:t>
      </w:r>
      <w:r>
        <w:t>3</w:t>
      </w:r>
      <w:r>
        <w:rPr>
          <w:rFonts w:hint="eastAsia"/>
        </w:rPr>
        <w:t xml:space="preserve">年   月   日                              </w:t>
      </w:r>
    </w:p>
    <w:p>
      <w:pPr>
        <w:pStyle w:val="17"/>
        <w:ind w:firstLine="0" w:firstLineChars="0"/>
        <w:rPr>
          <w:b/>
          <w:bCs/>
        </w:rPr>
      </w:pPr>
      <w:r>
        <w:rPr>
          <w:rFonts w:hint="eastAsia"/>
          <w:b/>
          <w:bCs/>
        </w:rPr>
        <w:t>附件一：</w:t>
      </w:r>
      <w:r>
        <w:rPr>
          <w:b/>
          <w:bCs/>
        </w:rPr>
        <w:t xml:space="preserve"> </w:t>
      </w:r>
    </w:p>
    <w:p>
      <w:pPr>
        <w:pStyle w:val="12"/>
        <w:widowControl/>
        <w:spacing w:line="360" w:lineRule="auto"/>
        <w:rPr>
          <w:rFonts w:ascii="Times New Roman" w:hAnsi="Times New Roman"/>
        </w:rPr>
      </w:pPr>
    </w:p>
    <w:p>
      <w:pPr>
        <w:spacing w:line="360" w:lineRule="auto"/>
        <w:ind w:firstLine="482" w:firstLineChars="200"/>
        <w:jc w:val="center"/>
        <w:rPr>
          <w:b/>
          <w:kern w:val="0"/>
          <w:sz w:val="24"/>
        </w:rPr>
      </w:pPr>
      <w:r>
        <w:rPr>
          <w:rFonts w:hint="eastAsia"/>
          <w:b/>
          <w:kern w:val="0"/>
          <w:sz w:val="24"/>
        </w:rPr>
        <w:t>法定代表人身份证明</w:t>
      </w:r>
    </w:p>
    <w:p>
      <w:pPr>
        <w:spacing w:line="360" w:lineRule="auto"/>
        <w:jc w:val="center"/>
        <w:rPr>
          <w:rFonts w:eastAsia="黑体" w:cs="宋体"/>
          <w:sz w:val="24"/>
        </w:rPr>
      </w:pPr>
    </w:p>
    <w:p>
      <w:pPr>
        <w:pStyle w:val="12"/>
        <w:widowControl/>
        <w:adjustRightInd w:val="0"/>
        <w:snapToGrid w:val="0"/>
        <w:spacing w:line="360" w:lineRule="auto"/>
        <w:ind w:firstLine="480" w:firstLineChars="200"/>
        <w:rPr>
          <w:rFonts w:ascii="Times New Roman" w:hAnsi="Times New Roman"/>
        </w:rPr>
      </w:pPr>
      <w:r>
        <w:rPr>
          <w:rFonts w:hint="eastAsia" w:ascii="Times New Roman" w:hAnsi="Times New Roman"/>
        </w:rPr>
        <w:t>单位名称：</w:t>
      </w:r>
    </w:p>
    <w:p>
      <w:pPr>
        <w:pStyle w:val="12"/>
        <w:widowControl/>
        <w:adjustRightInd w:val="0"/>
        <w:snapToGrid w:val="0"/>
        <w:spacing w:line="360" w:lineRule="auto"/>
        <w:ind w:firstLine="480" w:firstLineChars="200"/>
        <w:rPr>
          <w:rFonts w:ascii="Times New Roman" w:hAnsi="Times New Roman"/>
        </w:rPr>
      </w:pPr>
      <w:r>
        <w:rPr>
          <w:rFonts w:hint="eastAsia" w:ascii="Times New Roman" w:hAnsi="Times New Roman"/>
        </w:rPr>
        <w:t>单位性质：</w:t>
      </w:r>
    </w:p>
    <w:p>
      <w:pPr>
        <w:pStyle w:val="12"/>
        <w:widowControl/>
        <w:adjustRightInd w:val="0"/>
        <w:snapToGrid w:val="0"/>
        <w:spacing w:line="360" w:lineRule="auto"/>
        <w:ind w:firstLine="480" w:firstLineChars="200"/>
        <w:rPr>
          <w:rFonts w:ascii="Times New Roman" w:hAnsi="Times New Roman"/>
        </w:rPr>
      </w:pPr>
      <w:r>
        <w:rPr>
          <w:rFonts w:hint="eastAsia" w:ascii="Times New Roman" w:hAnsi="Times New Roman"/>
        </w:rPr>
        <w:t>地址：</w:t>
      </w:r>
    </w:p>
    <w:p>
      <w:pPr>
        <w:pStyle w:val="12"/>
        <w:widowControl/>
        <w:adjustRightInd w:val="0"/>
        <w:snapToGrid w:val="0"/>
        <w:spacing w:line="360" w:lineRule="auto"/>
        <w:ind w:firstLine="480" w:firstLineChars="200"/>
        <w:rPr>
          <w:rFonts w:ascii="Times New Roman" w:hAnsi="Times New Roman"/>
        </w:rPr>
      </w:pPr>
      <w:r>
        <w:rPr>
          <w:rFonts w:hint="eastAsia" w:ascii="Times New Roman" w:hAnsi="Times New Roman"/>
        </w:rPr>
        <w:t>成立时间： 年 月 日</w:t>
      </w:r>
    </w:p>
    <w:p>
      <w:pPr>
        <w:pStyle w:val="12"/>
        <w:widowControl/>
        <w:adjustRightInd w:val="0"/>
        <w:snapToGrid w:val="0"/>
        <w:spacing w:line="360" w:lineRule="auto"/>
        <w:ind w:firstLine="480" w:firstLineChars="200"/>
        <w:rPr>
          <w:rFonts w:ascii="Times New Roman" w:hAnsi="Times New Roman"/>
        </w:rPr>
      </w:pPr>
      <w:r>
        <w:rPr>
          <w:rFonts w:hint="eastAsia" w:ascii="Times New Roman" w:hAnsi="Times New Roman"/>
        </w:rPr>
        <w:t>经营期限：</w:t>
      </w:r>
    </w:p>
    <w:p>
      <w:pPr>
        <w:pStyle w:val="12"/>
        <w:widowControl/>
        <w:adjustRightInd w:val="0"/>
        <w:snapToGrid w:val="0"/>
        <w:spacing w:line="360" w:lineRule="auto"/>
        <w:ind w:firstLine="480" w:firstLineChars="200"/>
        <w:rPr>
          <w:rFonts w:ascii="Times New Roman" w:hAnsi="Times New Roman"/>
        </w:rPr>
      </w:pPr>
      <w:r>
        <w:rPr>
          <w:rFonts w:hint="eastAsia" w:ascii="Times New Roman" w:hAnsi="Times New Roman"/>
        </w:rPr>
        <w:t>姓名：性别：</w:t>
      </w:r>
    </w:p>
    <w:p>
      <w:pPr>
        <w:pStyle w:val="12"/>
        <w:widowControl/>
        <w:adjustRightInd w:val="0"/>
        <w:snapToGrid w:val="0"/>
        <w:spacing w:line="360" w:lineRule="auto"/>
        <w:ind w:firstLine="480" w:firstLineChars="200"/>
        <w:rPr>
          <w:rFonts w:ascii="Times New Roman" w:hAnsi="Times New Roman"/>
        </w:rPr>
      </w:pPr>
      <w:r>
        <w:rPr>
          <w:rFonts w:hint="eastAsia" w:ascii="Times New Roman" w:hAnsi="Times New Roman"/>
        </w:rPr>
        <w:t>年龄：职务：</w:t>
      </w:r>
    </w:p>
    <w:p>
      <w:pPr>
        <w:pStyle w:val="12"/>
        <w:widowControl/>
        <w:adjustRightInd w:val="0"/>
        <w:snapToGrid w:val="0"/>
        <w:spacing w:line="360" w:lineRule="auto"/>
        <w:ind w:firstLine="480" w:firstLineChars="200"/>
        <w:rPr>
          <w:rFonts w:ascii="Times New Roman" w:hAnsi="Times New Roman"/>
        </w:rPr>
      </w:pPr>
      <w:r>
        <w:rPr>
          <w:rFonts w:hint="eastAsia" w:ascii="Times New Roman" w:hAnsi="Times New Roman"/>
        </w:rPr>
        <w:t>联系电话：</w:t>
      </w:r>
    </w:p>
    <w:p>
      <w:pPr>
        <w:pStyle w:val="12"/>
        <w:widowControl/>
        <w:adjustRightInd w:val="0"/>
        <w:snapToGrid w:val="0"/>
        <w:spacing w:line="360" w:lineRule="auto"/>
        <w:ind w:firstLine="480" w:firstLineChars="200"/>
        <w:rPr>
          <w:rFonts w:ascii="Times New Roman" w:hAnsi="Times New Roman"/>
        </w:rPr>
      </w:pPr>
      <w:r>
        <w:rPr>
          <w:rFonts w:hint="eastAsia" w:ascii="Times New Roman" w:hAnsi="Times New Roman"/>
        </w:rPr>
        <w:t>系（报价单位名称）的法定代表人（或负责人）。</w:t>
      </w:r>
    </w:p>
    <w:p>
      <w:pPr>
        <w:pStyle w:val="12"/>
        <w:widowControl/>
        <w:adjustRightInd w:val="0"/>
        <w:snapToGrid w:val="0"/>
        <w:spacing w:line="360" w:lineRule="auto"/>
        <w:ind w:firstLine="480" w:firstLineChars="200"/>
        <w:rPr>
          <w:rFonts w:ascii="Times New Roman" w:hAnsi="Times New Roman"/>
        </w:rPr>
      </w:pPr>
    </w:p>
    <w:p>
      <w:pPr>
        <w:pStyle w:val="12"/>
        <w:widowControl/>
        <w:adjustRightInd w:val="0"/>
        <w:snapToGrid w:val="0"/>
        <w:spacing w:line="360" w:lineRule="auto"/>
        <w:ind w:firstLine="480" w:firstLineChars="200"/>
        <w:rPr>
          <w:rFonts w:ascii="Times New Roman" w:hAnsi="Times New Roman"/>
        </w:rPr>
      </w:pPr>
      <w:r>
        <w:rPr>
          <w:rFonts w:hint="eastAsia" w:ascii="Times New Roman" w:hAnsi="Times New Roman"/>
        </w:rPr>
        <w:t>特此证明。</w:t>
      </w:r>
    </w:p>
    <w:p>
      <w:pPr>
        <w:pStyle w:val="12"/>
        <w:widowControl/>
        <w:adjustRightInd w:val="0"/>
        <w:snapToGrid w:val="0"/>
        <w:spacing w:line="360" w:lineRule="auto"/>
        <w:ind w:firstLine="480" w:firstLineChars="200"/>
        <w:rPr>
          <w:rFonts w:ascii="Times New Roman" w:hAnsi="Times New Roman"/>
        </w:rPr>
      </w:pPr>
      <w:r>
        <w:rPr>
          <w:rFonts w:hint="eastAsia" w:ascii="Times New Roman" w:hAnsi="Times New Roman"/>
        </w:rPr>
        <w:t>单位：（盖公章）</w:t>
      </w:r>
    </w:p>
    <w:p>
      <w:pPr>
        <w:pStyle w:val="12"/>
        <w:widowControl/>
        <w:adjustRightInd w:val="0"/>
        <w:snapToGrid w:val="0"/>
        <w:spacing w:line="360" w:lineRule="auto"/>
        <w:ind w:firstLine="480" w:firstLineChars="200"/>
        <w:rPr>
          <w:rFonts w:ascii="Times New Roman" w:hAnsi="Times New Roman"/>
        </w:rPr>
      </w:pPr>
      <w:r>
        <w:rPr>
          <w:rFonts w:hint="eastAsia" w:ascii="Times New Roman" w:hAnsi="Times New Roman"/>
        </w:rPr>
        <w:t>日期：年月日</w:t>
      </w:r>
    </w:p>
    <w:p>
      <w:pPr>
        <w:pStyle w:val="7"/>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rPr>
          <w:rFonts w:hint="eastAsia"/>
        </w:rPr>
      </w:pPr>
    </w:p>
    <w:p>
      <w:pPr>
        <w:pStyle w:val="7"/>
        <w:rPr>
          <w:rFonts w:hint="eastAsia"/>
        </w:rPr>
      </w:pPr>
    </w:p>
    <w:p>
      <w:pPr>
        <w:topLinePunct/>
        <w:spacing w:line="520" w:lineRule="exact"/>
        <w:rPr>
          <w:rFonts w:ascii="方正小标宋简体" w:hAnsi="宋体" w:eastAsia="方正小标宋简体"/>
          <w:sz w:val="30"/>
          <w:szCs w:val="30"/>
        </w:rPr>
      </w:pPr>
      <w:r>
        <w:rPr>
          <w:rFonts w:hint="eastAsia"/>
          <w:b/>
          <w:bCs/>
          <w:sz w:val="28"/>
        </w:rPr>
        <w:t>附件二：</w:t>
      </w:r>
      <w:r>
        <w:rPr>
          <w:rFonts w:hint="eastAsia" w:ascii="宋体" w:hAnsi="宋体" w:cs="宋体"/>
          <w:sz w:val="30"/>
          <w:szCs w:val="30"/>
        </w:rPr>
        <w:t xml:space="preserve"> </w:t>
      </w:r>
      <w:r>
        <w:rPr>
          <w:rFonts w:ascii="宋体" w:hAnsi="宋体" w:cs="宋体"/>
          <w:sz w:val="30"/>
          <w:szCs w:val="30"/>
        </w:rPr>
        <w:t xml:space="preserve">        </w:t>
      </w:r>
      <w:r>
        <w:rPr>
          <w:rFonts w:hint="eastAsia" w:ascii="方正小标宋简体" w:hAnsi="宋体" w:eastAsia="方正小标宋简体"/>
          <w:sz w:val="30"/>
          <w:szCs w:val="30"/>
        </w:rPr>
        <w:t>法定代表人授权委托书</w:t>
      </w:r>
    </w:p>
    <w:p>
      <w:pPr>
        <w:topLinePunct/>
        <w:spacing w:line="520" w:lineRule="exact"/>
        <w:rPr>
          <w:rFonts w:ascii="宋体"/>
          <w:sz w:val="24"/>
        </w:rPr>
      </w:pPr>
      <w:r>
        <w:rPr>
          <w:rFonts w:hint="eastAsia" w:ascii="宋体" w:hAnsi="宋体"/>
          <w:sz w:val="24"/>
        </w:rPr>
        <w:t>致：</w:t>
      </w:r>
      <w:r>
        <w:rPr>
          <w:rFonts w:hint="eastAsia"/>
          <w:sz w:val="24"/>
        </w:rPr>
        <w:t>安徽中冶淮海装配式建筑有限公司</w:t>
      </w:r>
    </w:p>
    <w:p>
      <w:pPr>
        <w:topLinePunct/>
        <w:spacing w:line="520" w:lineRule="exact"/>
        <w:ind w:firstLine="480" w:firstLineChars="200"/>
        <w:rPr>
          <w:rFonts w:ascii="宋体"/>
          <w:sz w:val="24"/>
        </w:rPr>
      </w:pPr>
      <w:r>
        <w:rPr>
          <w:rFonts w:hint="eastAsia" w:ascii="宋体" w:hAnsi="宋体"/>
          <w:sz w:val="24"/>
        </w:rPr>
        <w:t>我</w:t>
      </w:r>
      <w:r>
        <w:rPr>
          <w:rFonts w:ascii="宋体" w:hAnsi="宋体"/>
          <w:sz w:val="24"/>
        </w:rPr>
        <w:t>(</w:t>
      </w:r>
      <w:r>
        <w:rPr>
          <w:rFonts w:hint="eastAsia" w:ascii="宋体" w:hAnsi="宋体"/>
          <w:sz w:val="24"/>
        </w:rPr>
        <w:t>姓名</w:t>
      </w:r>
      <w:r>
        <w:rPr>
          <w:rFonts w:ascii="宋体" w:hAnsi="宋体"/>
          <w:sz w:val="24"/>
        </w:rPr>
        <w:t>)</w:t>
      </w:r>
      <w:r>
        <w:rPr>
          <w:rFonts w:ascii="宋体" w:hAnsi="宋体"/>
          <w:sz w:val="24"/>
          <w:u w:val="single"/>
        </w:rPr>
        <w:t xml:space="preserve">        </w:t>
      </w:r>
      <w:r>
        <w:rPr>
          <w:rFonts w:hint="eastAsia" w:ascii="宋体" w:hAnsi="宋体"/>
          <w:sz w:val="24"/>
        </w:rPr>
        <w:t>系</w:t>
      </w:r>
      <w:r>
        <w:rPr>
          <w:rFonts w:ascii="宋体" w:hAnsi="宋体"/>
          <w:sz w:val="24"/>
        </w:rPr>
        <w:t>(</w:t>
      </w:r>
      <w:r>
        <w:rPr>
          <w:rFonts w:hint="eastAsia" w:ascii="宋体" w:hAnsi="宋体"/>
          <w:sz w:val="24"/>
        </w:rPr>
        <w:t>报价人名称</w:t>
      </w:r>
      <w:r>
        <w:rPr>
          <w:rFonts w:ascii="宋体" w:hAnsi="宋体"/>
          <w:sz w:val="24"/>
        </w:rPr>
        <w:t>)</w:t>
      </w:r>
      <w:r>
        <w:rPr>
          <w:rFonts w:hint="eastAsia" w:ascii="宋体" w:hAnsi="宋体"/>
          <w:sz w:val="24"/>
        </w:rPr>
        <w:t>的法定代表人，现授权委托本单位在职职工</w:t>
      </w:r>
      <w:r>
        <w:rPr>
          <w:rFonts w:ascii="宋体" w:hAnsi="宋体"/>
          <w:sz w:val="24"/>
          <w:u w:val="single"/>
        </w:rPr>
        <w:t xml:space="preserve">       </w:t>
      </w:r>
      <w:r>
        <w:rPr>
          <w:rFonts w:ascii="宋体" w:hAnsi="宋体"/>
          <w:sz w:val="24"/>
        </w:rPr>
        <w:t xml:space="preserve"> (</w:t>
      </w:r>
      <w:r>
        <w:rPr>
          <w:rFonts w:hint="eastAsia" w:ascii="宋体" w:hAnsi="宋体"/>
          <w:sz w:val="24"/>
        </w:rPr>
        <w:t>姓名</w:t>
      </w:r>
      <w:r>
        <w:rPr>
          <w:rFonts w:ascii="宋体" w:hAnsi="宋体"/>
          <w:sz w:val="24"/>
        </w:rPr>
        <w:t>)</w:t>
      </w:r>
      <w:r>
        <w:rPr>
          <w:rFonts w:hint="eastAsia" w:ascii="宋体" w:hAnsi="宋体"/>
          <w:sz w:val="24"/>
        </w:rPr>
        <w:t>以我方的名义参加项目的贵公司竞价活动，并代表我方全权办理针对上述项目的报价、签约等具体事务和签署相关文件。</w:t>
      </w:r>
    </w:p>
    <w:p>
      <w:pPr>
        <w:topLinePunct/>
        <w:spacing w:line="520" w:lineRule="exact"/>
        <w:ind w:firstLine="480" w:firstLineChars="200"/>
        <w:rPr>
          <w:rFonts w:ascii="宋体"/>
          <w:sz w:val="24"/>
        </w:rPr>
      </w:pPr>
      <w:r>
        <w:rPr>
          <w:rFonts w:hint="eastAsia" w:ascii="宋体" w:hAnsi="宋体"/>
          <w:sz w:val="24"/>
        </w:rPr>
        <w:t>我方对委托代理人的签名事项负全部责任。</w:t>
      </w:r>
    </w:p>
    <w:p>
      <w:pPr>
        <w:topLinePunct/>
        <w:spacing w:line="520" w:lineRule="exact"/>
        <w:ind w:firstLine="480" w:firstLineChars="200"/>
        <w:rPr>
          <w:rFonts w:ascii="宋体"/>
          <w:sz w:val="24"/>
        </w:rPr>
      </w:pPr>
      <w:r>
        <w:rPr>
          <w:rFonts w:hint="eastAsia" w:ascii="宋体" w:hAnsi="宋体"/>
          <w:sz w:val="24"/>
          <w:u w:val="single"/>
        </w:rPr>
        <w:t>在撤销授权的书面通知以前，本授权书一直有效。</w:t>
      </w:r>
      <w:r>
        <w:rPr>
          <w:rFonts w:hint="eastAsia" w:ascii="宋体" w:hAnsi="宋体"/>
          <w:sz w:val="24"/>
        </w:rPr>
        <w:t>委托代理人在授权书有效期内签署的所有文件不因授权的撤销而失效。</w:t>
      </w:r>
    </w:p>
    <w:p>
      <w:pPr>
        <w:topLinePunct/>
        <w:spacing w:line="520" w:lineRule="exact"/>
        <w:ind w:firstLine="480" w:firstLineChars="200"/>
        <w:rPr>
          <w:rFonts w:ascii="宋体"/>
          <w:sz w:val="24"/>
        </w:rPr>
      </w:pPr>
      <w:r>
        <w:rPr>
          <w:rFonts w:hint="eastAsia" w:ascii="宋体" w:hAnsi="宋体"/>
          <w:sz w:val="24"/>
        </w:rPr>
        <w:t>委托代理人无转委托权，特此委托。</w:t>
      </w:r>
    </w:p>
    <w:p>
      <w:pPr>
        <w:topLinePunct/>
        <w:spacing w:line="520" w:lineRule="exact"/>
        <w:rPr>
          <w:rFonts w:ascii="宋体"/>
          <w:sz w:val="24"/>
        </w:rPr>
      </w:pPr>
      <w:r>
        <w:rPr>
          <w:rFonts w:hint="eastAsia" w:ascii="宋体" w:hAnsi="宋体"/>
          <w:sz w:val="24"/>
        </w:rPr>
        <w:t xml:space="preserve">委托代理人签名： </w:t>
      </w:r>
      <w:r>
        <w:rPr>
          <w:rFonts w:ascii="宋体" w:hAnsi="宋体"/>
          <w:sz w:val="24"/>
        </w:rPr>
        <w:t xml:space="preserve">                     </w:t>
      </w:r>
      <w:r>
        <w:rPr>
          <w:rFonts w:hint="eastAsia" w:ascii="宋体" w:hAnsi="宋体"/>
          <w:sz w:val="24"/>
        </w:rPr>
        <w:t>法定代表人签名：</w:t>
      </w:r>
    </w:p>
    <w:p>
      <w:pPr>
        <w:topLinePunct/>
        <w:spacing w:line="520" w:lineRule="exact"/>
        <w:ind w:firstLine="1200" w:firstLineChars="500"/>
        <w:rPr>
          <w:rFonts w:ascii="宋体"/>
          <w:sz w:val="24"/>
          <w:u w:val="single"/>
        </w:rPr>
      </w:pPr>
      <w:r>
        <w:rPr>
          <w:rFonts w:hint="eastAsia" w:ascii="宋体" w:hAnsi="宋体"/>
          <w:sz w:val="24"/>
        </w:rPr>
        <w:t xml:space="preserve">职务： </w:t>
      </w:r>
      <w:r>
        <w:rPr>
          <w:rFonts w:ascii="宋体" w:hAnsi="宋体"/>
          <w:sz w:val="24"/>
        </w:rPr>
        <w:t xml:space="preserve">                     </w:t>
      </w:r>
      <w:r>
        <w:rPr>
          <w:rFonts w:hint="eastAsia" w:ascii="宋体" w:hAnsi="宋体"/>
          <w:sz w:val="24"/>
        </w:rPr>
        <w:t>职务：</w:t>
      </w:r>
    </w:p>
    <w:p>
      <w:pPr>
        <w:topLinePunct/>
        <w:spacing w:line="520" w:lineRule="exact"/>
        <w:ind w:firstLine="1200" w:firstLineChars="500"/>
        <w:rPr>
          <w:rFonts w:ascii="宋体"/>
          <w:sz w:val="24"/>
        </w:rPr>
      </w:pPr>
      <w:r>
        <w:rPr>
          <w:rFonts w:hint="eastAsia" w:ascii="宋体" w:hAnsi="宋体"/>
          <w:sz w:val="24"/>
        </w:rPr>
        <w:t xml:space="preserve">联系电话： </w:t>
      </w:r>
      <w:r>
        <w:rPr>
          <w:rFonts w:ascii="宋体" w:hAnsi="宋体"/>
          <w:sz w:val="24"/>
        </w:rPr>
        <w:t xml:space="preserve">              </w:t>
      </w:r>
      <w:r>
        <w:rPr>
          <w:rFonts w:ascii="宋体" w:hAnsi="宋体"/>
          <w:sz w:val="24"/>
        </w:rPr>
        <w:tab/>
      </w:r>
      <w:r>
        <w:rPr>
          <w:rFonts w:hint="eastAsia" w:ascii="宋体" w:hAnsi="宋体"/>
          <w:sz w:val="24"/>
        </w:rPr>
        <w:t>联系电话：</w:t>
      </w:r>
    </w:p>
    <w:p>
      <w:pPr>
        <w:topLinePunct/>
        <w:spacing w:line="520" w:lineRule="exact"/>
        <w:rPr>
          <w:rFonts w:ascii="宋体"/>
          <w:sz w:val="24"/>
        </w:rPr>
      </w:pPr>
      <w:r>
        <w:rPr>
          <w:rFonts w:hint="eastAsia" w:ascii="宋体" w:hAnsi="宋体"/>
          <w:sz w:val="24"/>
        </w:rPr>
        <w:t>委托代理人身份证复印件</w:t>
      </w:r>
      <w:r>
        <w:rPr>
          <w:rFonts w:ascii="宋体" w:hAnsi="宋体"/>
          <w:sz w:val="24"/>
        </w:rPr>
        <w:t>(</w:t>
      </w:r>
      <w:r>
        <w:rPr>
          <w:rFonts w:hint="eastAsia" w:ascii="宋体" w:hAnsi="宋体"/>
          <w:sz w:val="24"/>
        </w:rPr>
        <w:t>正反双面</w:t>
      </w:r>
      <w:r>
        <w:rPr>
          <w:rFonts w:ascii="宋体" w:hAnsi="宋体"/>
          <w:sz w:val="24"/>
        </w:rPr>
        <w:t>)</w:t>
      </w:r>
      <w:r>
        <w:rPr>
          <w:rFonts w:hint="eastAsia" w:ascii="宋体" w:hAnsi="宋体"/>
          <w:sz w:val="24"/>
        </w:rPr>
        <w:t>：法定代表人身份证复印件</w:t>
      </w:r>
      <w:r>
        <w:rPr>
          <w:rFonts w:ascii="宋体" w:hAnsi="宋体"/>
          <w:sz w:val="24"/>
        </w:rPr>
        <w:t>(</w:t>
      </w:r>
      <w:r>
        <w:rPr>
          <w:rFonts w:hint="eastAsia" w:ascii="宋体" w:hAnsi="宋体"/>
          <w:sz w:val="24"/>
        </w:rPr>
        <w:t>正反双面</w:t>
      </w:r>
      <w:r>
        <w:rPr>
          <w:rFonts w:ascii="宋体" w:hAnsi="宋体"/>
          <w:sz w:val="24"/>
        </w:rPr>
        <w:t>)</w:t>
      </w:r>
      <w:r>
        <w:rPr>
          <w:rFonts w:hint="eastAsia" w:ascii="宋体" w:hAnsi="宋体"/>
          <w:sz w:val="24"/>
        </w:rPr>
        <w:t>：</w:t>
      </w:r>
    </w:p>
    <w:p>
      <w:pPr>
        <w:topLinePunct/>
        <w:spacing w:line="520" w:lineRule="exact"/>
        <w:rPr>
          <w:rFonts w:ascii="宋体"/>
          <w:sz w:val="24"/>
        </w:rPr>
      </w:pPr>
      <w:r>
        <w:drawing>
          <wp:anchor distT="0" distB="0" distL="114300" distR="114300" simplePos="0" relativeHeight="251662336" behindDoc="0" locked="0" layoutInCell="1" allowOverlap="1">
            <wp:simplePos x="0" y="0"/>
            <wp:positionH relativeFrom="column">
              <wp:posOffset>3355340</wp:posOffset>
            </wp:positionH>
            <wp:positionV relativeFrom="paragraph">
              <wp:posOffset>151765</wp:posOffset>
            </wp:positionV>
            <wp:extent cx="2226310" cy="2628900"/>
            <wp:effectExtent l="0" t="0" r="2540" b="0"/>
            <wp:wrapSquare wrapText="bothSides"/>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2226310" cy="2628900"/>
                    </a:xfrm>
                    <a:prstGeom prst="rect">
                      <a:avLst/>
                    </a:prstGeom>
                    <a:noFill/>
                    <a:ln>
                      <a:noFill/>
                    </a:ln>
                  </pic:spPr>
                </pic:pic>
              </a:graphicData>
            </a:graphic>
          </wp:anchor>
        </w:drawing>
      </w:r>
      <w:r>
        <w:drawing>
          <wp:anchor distT="0" distB="0" distL="114300" distR="114300" simplePos="0" relativeHeight="251663360" behindDoc="0" locked="0" layoutInCell="1" allowOverlap="1">
            <wp:simplePos x="0" y="0"/>
            <wp:positionH relativeFrom="column">
              <wp:posOffset>-73660</wp:posOffset>
            </wp:positionH>
            <wp:positionV relativeFrom="paragraph">
              <wp:posOffset>151765</wp:posOffset>
            </wp:positionV>
            <wp:extent cx="2226310" cy="2628900"/>
            <wp:effectExtent l="0" t="0" r="2540" b="0"/>
            <wp:wrapSquare wrapText="bothSides"/>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2226310" cy="2628900"/>
                    </a:xfrm>
                    <a:prstGeom prst="rect">
                      <a:avLst/>
                    </a:prstGeom>
                    <a:noFill/>
                    <a:ln>
                      <a:noFill/>
                    </a:ln>
                  </pic:spPr>
                </pic:pic>
              </a:graphicData>
            </a:graphic>
          </wp:anchor>
        </w:drawing>
      </w:r>
    </w:p>
    <w:p>
      <w:pPr>
        <w:topLinePunct/>
        <w:spacing w:line="520" w:lineRule="exact"/>
        <w:rPr>
          <w:rFonts w:ascii="宋体"/>
          <w:sz w:val="24"/>
        </w:rPr>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pStyle w:val="7"/>
      </w:pPr>
    </w:p>
    <w:p>
      <w:pPr>
        <w:pStyle w:val="7"/>
        <w:ind w:firstLine="420"/>
      </w:pPr>
    </w:p>
    <w:p>
      <w:pPr>
        <w:pStyle w:val="7"/>
        <w:ind w:firstLine="420"/>
      </w:pPr>
    </w:p>
    <w:p>
      <w:pPr>
        <w:topLinePunct/>
        <w:spacing w:line="520" w:lineRule="exact"/>
        <w:jc w:val="center"/>
        <w:rPr>
          <w:rFonts w:ascii="宋体"/>
          <w:sz w:val="24"/>
        </w:rPr>
      </w:pPr>
      <w:r>
        <w:rPr>
          <w:rFonts w:hint="eastAsia" w:ascii="宋体" w:hAnsi="宋体"/>
          <w:sz w:val="24"/>
        </w:rPr>
        <w:t>报价人公章</w:t>
      </w:r>
    </w:p>
    <w:p>
      <w:pPr>
        <w:topLinePunct/>
        <w:spacing w:line="520" w:lineRule="exact"/>
        <w:ind w:firstLine="3600" w:firstLineChars="1500"/>
        <w:rPr>
          <w:rFonts w:ascii="宋体"/>
          <w:sz w:val="24"/>
        </w:rPr>
      </w:pPr>
      <w:r>
        <w:rPr>
          <w:rFonts w:hint="eastAsia" w:ascii="宋体" w:hAnsi="宋体"/>
          <w:sz w:val="24"/>
        </w:rPr>
        <w:t xml:space="preserve">年 月 </w:t>
      </w:r>
      <w:r>
        <w:rPr>
          <w:rFonts w:ascii="宋体" w:hAnsi="宋体"/>
          <w:sz w:val="24"/>
        </w:rPr>
        <w:t xml:space="preserve"> </w:t>
      </w:r>
      <w:r>
        <w:rPr>
          <w:rFonts w:hint="eastAsia" w:ascii="宋体" w:hAnsi="宋体"/>
          <w:sz w:val="24"/>
        </w:rPr>
        <w:t>日</w:t>
      </w:r>
    </w:p>
    <w:p>
      <w:pPr>
        <w:pStyle w:val="7"/>
        <w:rPr>
          <w:rFonts w:hint="eastAsia"/>
        </w:rPr>
      </w:pPr>
    </w:p>
    <w:p>
      <w:pPr>
        <w:pStyle w:val="17"/>
        <w:ind w:firstLine="0" w:firstLineChars="0"/>
        <w:jc w:val="left"/>
        <w:rPr>
          <w:rFonts w:ascii="宋体" w:hAnsi="宋体" w:cs="Arial"/>
          <w:b/>
          <w:szCs w:val="28"/>
        </w:rPr>
      </w:pPr>
      <w:r>
        <w:rPr>
          <w:rFonts w:hint="eastAsia"/>
          <w:b/>
          <w:bCs/>
        </w:rPr>
        <w:t>附件三：报价人</w:t>
      </w:r>
      <w:r>
        <w:rPr>
          <w:rFonts w:hint="eastAsia" w:ascii="宋体" w:hAnsi="宋体" w:cs="Arial"/>
          <w:b/>
          <w:szCs w:val="28"/>
        </w:rPr>
        <w:t>营业执照（原件扫描件或复印件盖章）</w:t>
      </w:r>
    </w:p>
    <w:p>
      <w:pPr>
        <w:pStyle w:val="17"/>
        <w:ind w:firstLine="480"/>
        <w:rPr>
          <w:rFonts w:ascii="宋体" w:hAnsi="宋体" w:cs="宋体"/>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1" w:hRule="atLeast"/>
        </w:trPr>
        <w:tc>
          <w:tcPr>
            <w:tcW w:w="14002" w:type="dxa"/>
          </w:tcPr>
          <w:p>
            <w:pPr>
              <w:spacing w:line="500" w:lineRule="exact"/>
              <w:ind w:firstLine="480"/>
              <w:rPr>
                <w:rFonts w:ascii="宋体" w:hAnsi="宋体" w:cs="Arial"/>
                <w:kern w:val="0"/>
                <w:sz w:val="24"/>
              </w:rPr>
            </w:pPr>
            <w:r>
              <w:rPr>
                <w:rFonts w:ascii="宋体" w:hAnsi="宋体" w:cs="Arial"/>
                <w:kern w:val="0"/>
                <w:sz w:val="24"/>
              </w:rPr>
              <w:drawing>
                <wp:anchor distT="0" distB="0" distL="114300" distR="114300" simplePos="0" relativeHeight="251661312" behindDoc="0" locked="0" layoutInCell="1" allowOverlap="1">
                  <wp:simplePos x="0" y="0"/>
                  <wp:positionH relativeFrom="column">
                    <wp:posOffset>179070</wp:posOffset>
                  </wp:positionH>
                  <wp:positionV relativeFrom="paragraph">
                    <wp:posOffset>82550</wp:posOffset>
                  </wp:positionV>
                  <wp:extent cx="4867275" cy="3162300"/>
                  <wp:effectExtent l="0" t="0" r="0" b="635"/>
                  <wp:wrapNone/>
                  <wp:docPr id="7" name="图片 1" descr="http://5b0988e595225.cdn.sohucs.com/images/20190224/58596c8c109a45098ba9b0cd6a29918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http://5b0988e595225.cdn.sohucs.com/images/20190224/58596c8c109a45098ba9b0cd6a29918d.jpeg"/>
                          <pic:cNvPicPr>
                            <a:picLocks noChangeAspect="1"/>
                          </pic:cNvPicPr>
                        </pic:nvPicPr>
                        <pic:blipFill>
                          <a:blip r:embed="rId8"/>
                          <a:stretch>
                            <a:fillRect/>
                          </a:stretch>
                        </pic:blipFill>
                        <pic:spPr>
                          <a:xfrm>
                            <a:off x="0" y="0"/>
                            <a:ext cx="4877421" cy="3168499"/>
                          </a:xfrm>
                          <a:prstGeom prst="rect">
                            <a:avLst/>
                          </a:prstGeom>
                          <a:noFill/>
                          <a:ln>
                            <a:noFill/>
                          </a:ln>
                        </pic:spPr>
                      </pic:pic>
                    </a:graphicData>
                  </a:graphic>
                </wp:anchor>
              </w:drawing>
            </w:r>
          </w:p>
        </w:tc>
      </w:tr>
    </w:tbl>
    <w:p>
      <w:pPr>
        <w:pStyle w:val="17"/>
        <w:ind w:firstLine="0" w:firstLineChars="0"/>
      </w:pPr>
    </w:p>
    <w:p>
      <w:pPr>
        <w:pStyle w:val="17"/>
        <w:ind w:firstLine="560"/>
      </w:pPr>
    </w:p>
    <w:p>
      <w:pPr>
        <w:pStyle w:val="17"/>
        <w:ind w:firstLine="0" w:firstLineChars="0"/>
        <w:rPr>
          <w:rFonts w:hint="eastAsia"/>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FAE9B02-3796-4FEA-8CFC-232A0509B462}"/>
  </w:font>
  <w:font w:name="黑体">
    <w:panose1 w:val="02010609060101010101"/>
    <w:charset w:val="86"/>
    <w:family w:val="auto"/>
    <w:pitch w:val="default"/>
    <w:sig w:usb0="800002BF" w:usb1="38CF7CFA" w:usb2="00000016" w:usb3="00000000" w:csb0="00040001" w:csb1="00000000"/>
    <w:embedRegular r:id="rId2" w:fontKey="{03CB5230-21A3-443E-92DC-F28C8C3E0FB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5F3DAF01-DED6-4054-81C9-89EDDD7FD2CC}"/>
  </w:font>
  <w:font w:name="??">
    <w:altName w:val="Times New Roman"/>
    <w:panose1 w:val="00000000000000000000"/>
    <w:charset w:val="00"/>
    <w:family w:val="roman"/>
    <w:pitch w:val="default"/>
    <w:sig w:usb0="00000000" w:usb1="00000000" w:usb2="00000000" w:usb3="00000000" w:csb0="00000001" w:csb1="00000000"/>
  </w:font>
  <w:font w:name="微软雅黑">
    <w:panose1 w:val="020B0503020204020204"/>
    <w:charset w:val="86"/>
    <w:family w:val="swiss"/>
    <w:pitch w:val="default"/>
    <w:sig w:usb0="80000287" w:usb1="2ACF3C50" w:usb2="00000016" w:usb3="00000000" w:csb0="0004001F" w:csb1="00000000"/>
  </w:font>
  <w:font w:name="PMingLiUfalt">
    <w:altName w:val="MingLiU-ExtB"/>
    <w:panose1 w:val="00000000000000000000"/>
    <w:charset w:val="88"/>
    <w:family w:val="auto"/>
    <w:pitch w:val="default"/>
    <w:sig w:usb0="00000000" w:usb1="00000000" w:usb2="00000010" w:usb3="00000000" w:csb0="00100000" w:csb1="00000000"/>
    <w:embedRegular r:id="rId4" w:fontKey="{9C7EF7D1-08D8-4129-9360-CA488A9273E2}"/>
  </w:font>
  <w:font w:name="方正小标宋简体">
    <w:panose1 w:val="02000000000000000000"/>
    <w:charset w:val="86"/>
    <w:family w:val="script"/>
    <w:pitch w:val="default"/>
    <w:sig w:usb0="00000001" w:usb1="08000000" w:usb2="00000000" w:usb3="00000000" w:csb0="00040000" w:csb1="00000000"/>
    <w:embedRegular r:id="rId5" w:fontKey="{305B53E9-3920-43BB-8E0D-8F92D503FA83}"/>
  </w:font>
  <w:font w:name="仿宋_GB2312">
    <w:altName w:val="仿宋"/>
    <w:panose1 w:val="00000000000000000000"/>
    <w:charset w:val="86"/>
    <w:family w:val="modern"/>
    <w:pitch w:val="default"/>
    <w:sig w:usb0="00000000" w:usb1="00000000" w:usb2="00000000" w:usb3="00000000" w:csb0="00040000" w:csb1="00000000"/>
    <w:embedRegular r:id="rId6" w:fontKey="{B682B455-411F-44F4-82AB-5EF11BD2032A}"/>
  </w:font>
  <w:font w:name="Tahoma">
    <w:panose1 w:val="020B0604030504040204"/>
    <w:charset w:val="00"/>
    <w:family w:val="auto"/>
    <w:pitch w:val="default"/>
    <w:sig w:usb0="E1002EFF" w:usb1="C000605B" w:usb2="00000029" w:usb3="00000000" w:csb0="200101FF" w:csb1="20280000"/>
    <w:embedRegular r:id="rId7" w:fontKey="{896427DD-DABE-49D2-AFB3-E1BC318574D3}"/>
  </w:font>
  <w:font w:name="楷体_GB2312">
    <w:altName w:val="楷体"/>
    <w:panose1 w:val="00000000000000000000"/>
    <w:charset w:val="86"/>
    <w:family w:val="modern"/>
    <w:pitch w:val="default"/>
    <w:sig w:usb0="00000000" w:usb1="00000000" w:usb2="00000010" w:usb3="00000000" w:csb0="00040000" w:csb1="00000000"/>
    <w:embedRegular r:id="rId8" w:fontKey="{93DDACDB-B155-4320-812A-16CEF135376C}"/>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MingLiU-ExtB">
    <w:panose1 w:val="02020500000000000000"/>
    <w:charset w:val="88"/>
    <w:family w:val="auto"/>
    <w:pitch w:val="default"/>
    <w:sig w:usb0="8000002F" w:usb1="02000008" w:usb2="00000000" w:usb3="00000000" w:csb0="001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single" w:color="auto" w:sz="4" w:space="1"/>
      </w:pBdr>
      <w:jc w:val="both"/>
      <w:rPr>
        <w:rFonts w:ascii="楷体_GB2312" w:hAnsi="黑体" w:eastAsia="楷体_GB2312" w:cs="黑体"/>
        <w:i/>
        <w:iCs/>
        <w:sz w:val="21"/>
        <w:szCs w:val="21"/>
      </w:rPr>
    </w:pPr>
    <w:r>
      <w:drawing>
        <wp:inline distT="0" distB="0" distL="114300" distR="114300">
          <wp:extent cx="431800" cy="368300"/>
          <wp:effectExtent l="0" t="0" r="6350" b="12700"/>
          <wp:docPr id="1" name="图片 1" descr="668116201180629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668116201180629264"/>
                  <pic:cNvPicPr>
                    <a:picLocks noChangeAspect="1"/>
                  </pic:cNvPicPr>
                </pic:nvPicPr>
                <pic:blipFill>
                  <a:blip r:embed="rId1"/>
                  <a:srcRect l="3307" t="7990" r="2203" b="11295"/>
                  <a:stretch>
                    <a:fillRect/>
                  </a:stretch>
                </pic:blipFill>
                <pic:spPr>
                  <a:xfrm>
                    <a:off x="0" y="0"/>
                    <a:ext cx="431800" cy="368300"/>
                  </a:xfrm>
                  <a:prstGeom prst="rect">
                    <a:avLst/>
                  </a:prstGeom>
                  <a:noFill/>
                  <a:ln>
                    <a:noFill/>
                  </a:ln>
                </pic:spPr>
              </pic:pic>
            </a:graphicData>
          </a:graphic>
        </wp:inline>
      </w:drawing>
    </w:r>
    <w:r>
      <w:rPr>
        <w:rFonts w:hint="eastAsia" w:ascii="楷体_GB2312" w:hAnsi="黑体" w:eastAsia="楷体_GB2312" w:cs="黑体"/>
        <w:i/>
        <w:iCs/>
        <w:sz w:val="21"/>
        <w:szCs w:val="21"/>
      </w:rPr>
      <w:t>安徽中冶淮海装配式建筑有限公司</w:t>
    </w:r>
  </w:p>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5D5DA0"/>
    <w:multiLevelType w:val="singleLevel"/>
    <w:tmpl w:val="835D5DA0"/>
    <w:lvl w:ilvl="0" w:tentative="0">
      <w:start w:val="8"/>
      <w:numFmt w:val="chineseCounting"/>
      <w:suff w:val="nothing"/>
      <w:lvlText w:val="%1、"/>
      <w:lvlJc w:val="left"/>
      <w:rPr>
        <w:rFonts w:hint="eastAsia"/>
      </w:rPr>
    </w:lvl>
  </w:abstractNum>
  <w:abstractNum w:abstractNumId="1">
    <w:nsid w:val="C989647C"/>
    <w:multiLevelType w:val="singleLevel"/>
    <w:tmpl w:val="C989647C"/>
    <w:lvl w:ilvl="0" w:tentative="0">
      <w:start w:val="6"/>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9"/>
  <w:embedTrueTypeFonts/>
  <w:saveSubsetFonts/>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czNGFlZDIzOWM4OWQ1ZTAwZmVjMzVmNzFkZjliYTgifQ=="/>
  </w:docVars>
  <w:rsids>
    <w:rsidRoot w:val="00857AE7"/>
    <w:rsid w:val="00037C85"/>
    <w:rsid w:val="001530CD"/>
    <w:rsid w:val="00162E0B"/>
    <w:rsid w:val="00176660"/>
    <w:rsid w:val="00182C5F"/>
    <w:rsid w:val="001F4B8D"/>
    <w:rsid w:val="002368F3"/>
    <w:rsid w:val="002808B4"/>
    <w:rsid w:val="0028157B"/>
    <w:rsid w:val="002D1E4E"/>
    <w:rsid w:val="0043308D"/>
    <w:rsid w:val="00481C68"/>
    <w:rsid w:val="004D61A3"/>
    <w:rsid w:val="004E7C8D"/>
    <w:rsid w:val="005565B5"/>
    <w:rsid w:val="005633B7"/>
    <w:rsid w:val="00634230"/>
    <w:rsid w:val="00676E41"/>
    <w:rsid w:val="00695906"/>
    <w:rsid w:val="006E4A51"/>
    <w:rsid w:val="006F43C3"/>
    <w:rsid w:val="007E4D9D"/>
    <w:rsid w:val="00806442"/>
    <w:rsid w:val="00812698"/>
    <w:rsid w:val="00857AE7"/>
    <w:rsid w:val="008A382F"/>
    <w:rsid w:val="008C31BB"/>
    <w:rsid w:val="008F11A9"/>
    <w:rsid w:val="008F6BF5"/>
    <w:rsid w:val="00912B5C"/>
    <w:rsid w:val="00952CDE"/>
    <w:rsid w:val="009A2E34"/>
    <w:rsid w:val="009F7585"/>
    <w:rsid w:val="00A41DD4"/>
    <w:rsid w:val="00AA2F11"/>
    <w:rsid w:val="00B17157"/>
    <w:rsid w:val="00B40B47"/>
    <w:rsid w:val="00BB3C48"/>
    <w:rsid w:val="00CB3C87"/>
    <w:rsid w:val="00CE1A92"/>
    <w:rsid w:val="00D1313D"/>
    <w:rsid w:val="00DA4D8B"/>
    <w:rsid w:val="00DC69D9"/>
    <w:rsid w:val="00E0039A"/>
    <w:rsid w:val="00E0218A"/>
    <w:rsid w:val="00E06444"/>
    <w:rsid w:val="00E73860"/>
    <w:rsid w:val="00F53CF6"/>
    <w:rsid w:val="01386CF4"/>
    <w:rsid w:val="0196601E"/>
    <w:rsid w:val="01B3097E"/>
    <w:rsid w:val="01DB6F3E"/>
    <w:rsid w:val="01EC6267"/>
    <w:rsid w:val="022368EC"/>
    <w:rsid w:val="02A25AAF"/>
    <w:rsid w:val="031A59A9"/>
    <w:rsid w:val="033D704D"/>
    <w:rsid w:val="03DB3B6B"/>
    <w:rsid w:val="04642403"/>
    <w:rsid w:val="04BB6756"/>
    <w:rsid w:val="04E84DE3"/>
    <w:rsid w:val="05194BD1"/>
    <w:rsid w:val="051A4E68"/>
    <w:rsid w:val="05EE1761"/>
    <w:rsid w:val="0690724A"/>
    <w:rsid w:val="070B125C"/>
    <w:rsid w:val="07A654C1"/>
    <w:rsid w:val="07C1512B"/>
    <w:rsid w:val="08ED64C0"/>
    <w:rsid w:val="090C4E18"/>
    <w:rsid w:val="098117A8"/>
    <w:rsid w:val="0A467893"/>
    <w:rsid w:val="0A7118E2"/>
    <w:rsid w:val="0A913826"/>
    <w:rsid w:val="0AC30959"/>
    <w:rsid w:val="0AE84CAA"/>
    <w:rsid w:val="0C193CC9"/>
    <w:rsid w:val="0C4A1BA5"/>
    <w:rsid w:val="0C4E055A"/>
    <w:rsid w:val="0D132C19"/>
    <w:rsid w:val="0D1A5D55"/>
    <w:rsid w:val="0D215CA4"/>
    <w:rsid w:val="0D56063E"/>
    <w:rsid w:val="0D771596"/>
    <w:rsid w:val="0DAC6522"/>
    <w:rsid w:val="0DE15621"/>
    <w:rsid w:val="0DF465A6"/>
    <w:rsid w:val="0E87566C"/>
    <w:rsid w:val="0EA526BC"/>
    <w:rsid w:val="0F4E2729"/>
    <w:rsid w:val="0F6A403A"/>
    <w:rsid w:val="0FD96551"/>
    <w:rsid w:val="10246EEB"/>
    <w:rsid w:val="10DA1F09"/>
    <w:rsid w:val="126B22E7"/>
    <w:rsid w:val="13464465"/>
    <w:rsid w:val="13645F7C"/>
    <w:rsid w:val="148A7C64"/>
    <w:rsid w:val="14E727BE"/>
    <w:rsid w:val="15451DDD"/>
    <w:rsid w:val="155B21A4"/>
    <w:rsid w:val="157C322F"/>
    <w:rsid w:val="1740532C"/>
    <w:rsid w:val="17667EB7"/>
    <w:rsid w:val="17CC40F0"/>
    <w:rsid w:val="185E7120"/>
    <w:rsid w:val="19BC1F42"/>
    <w:rsid w:val="1A6054E6"/>
    <w:rsid w:val="1B971AF7"/>
    <w:rsid w:val="1BBF235E"/>
    <w:rsid w:val="1C427076"/>
    <w:rsid w:val="1E753327"/>
    <w:rsid w:val="1ECB3C6C"/>
    <w:rsid w:val="1EDB56CF"/>
    <w:rsid w:val="1F4D66E3"/>
    <w:rsid w:val="1F557E70"/>
    <w:rsid w:val="1F66307C"/>
    <w:rsid w:val="1FBD1216"/>
    <w:rsid w:val="204B7DB3"/>
    <w:rsid w:val="205F46C8"/>
    <w:rsid w:val="206222A6"/>
    <w:rsid w:val="20656D9A"/>
    <w:rsid w:val="206C021E"/>
    <w:rsid w:val="2098144A"/>
    <w:rsid w:val="20B7166A"/>
    <w:rsid w:val="214D441A"/>
    <w:rsid w:val="21747135"/>
    <w:rsid w:val="223E763B"/>
    <w:rsid w:val="238350C4"/>
    <w:rsid w:val="23D644F7"/>
    <w:rsid w:val="253900B0"/>
    <w:rsid w:val="258914BA"/>
    <w:rsid w:val="25A4407E"/>
    <w:rsid w:val="25B44688"/>
    <w:rsid w:val="26380076"/>
    <w:rsid w:val="26BC0C89"/>
    <w:rsid w:val="28A75FED"/>
    <w:rsid w:val="28D72DA9"/>
    <w:rsid w:val="29980385"/>
    <w:rsid w:val="2A0A1F9E"/>
    <w:rsid w:val="2BBD6398"/>
    <w:rsid w:val="2D087520"/>
    <w:rsid w:val="2D7D16EA"/>
    <w:rsid w:val="2DAA05D8"/>
    <w:rsid w:val="2F6772AE"/>
    <w:rsid w:val="2F853840"/>
    <w:rsid w:val="305F0AE3"/>
    <w:rsid w:val="30B94C0E"/>
    <w:rsid w:val="30EE1283"/>
    <w:rsid w:val="31D51094"/>
    <w:rsid w:val="320E306C"/>
    <w:rsid w:val="322D5CC7"/>
    <w:rsid w:val="32B02DBB"/>
    <w:rsid w:val="331E5FDE"/>
    <w:rsid w:val="333A2AE8"/>
    <w:rsid w:val="335A2AA0"/>
    <w:rsid w:val="339F3D93"/>
    <w:rsid w:val="33A352CD"/>
    <w:rsid w:val="34A47F83"/>
    <w:rsid w:val="34AA5361"/>
    <w:rsid w:val="34C162A1"/>
    <w:rsid w:val="34EC69C4"/>
    <w:rsid w:val="356D159C"/>
    <w:rsid w:val="357C314F"/>
    <w:rsid w:val="359C73A0"/>
    <w:rsid w:val="36FD3F9D"/>
    <w:rsid w:val="37C1086A"/>
    <w:rsid w:val="38133DC8"/>
    <w:rsid w:val="383F5FF1"/>
    <w:rsid w:val="387A228E"/>
    <w:rsid w:val="3907335C"/>
    <w:rsid w:val="393568C4"/>
    <w:rsid w:val="39462284"/>
    <w:rsid w:val="39684193"/>
    <w:rsid w:val="39B52441"/>
    <w:rsid w:val="39D85CEB"/>
    <w:rsid w:val="39DA2245"/>
    <w:rsid w:val="3AE710BD"/>
    <w:rsid w:val="3B213F1B"/>
    <w:rsid w:val="3BEE61FC"/>
    <w:rsid w:val="3CCA7DB7"/>
    <w:rsid w:val="3CE95F82"/>
    <w:rsid w:val="3D2E089D"/>
    <w:rsid w:val="3EBD3B16"/>
    <w:rsid w:val="3ECC2DB7"/>
    <w:rsid w:val="3F053773"/>
    <w:rsid w:val="3F942E96"/>
    <w:rsid w:val="3FB672B0"/>
    <w:rsid w:val="3FC85D09"/>
    <w:rsid w:val="3FF334A1"/>
    <w:rsid w:val="406073D4"/>
    <w:rsid w:val="41935879"/>
    <w:rsid w:val="41A729E4"/>
    <w:rsid w:val="429A4B86"/>
    <w:rsid w:val="42A653BA"/>
    <w:rsid w:val="42C972FA"/>
    <w:rsid w:val="43B85AC3"/>
    <w:rsid w:val="43C958C0"/>
    <w:rsid w:val="45605CF4"/>
    <w:rsid w:val="46107D59"/>
    <w:rsid w:val="4654512D"/>
    <w:rsid w:val="46552E56"/>
    <w:rsid w:val="46AC2C74"/>
    <w:rsid w:val="46BC1650"/>
    <w:rsid w:val="46CB1893"/>
    <w:rsid w:val="478358F3"/>
    <w:rsid w:val="47E262DA"/>
    <w:rsid w:val="490765B0"/>
    <w:rsid w:val="49E875FC"/>
    <w:rsid w:val="4A0028B0"/>
    <w:rsid w:val="4AC87421"/>
    <w:rsid w:val="4AE97655"/>
    <w:rsid w:val="4B286820"/>
    <w:rsid w:val="4B8169C4"/>
    <w:rsid w:val="4C3F1BAE"/>
    <w:rsid w:val="4CA60A3B"/>
    <w:rsid w:val="4CDC3B0F"/>
    <w:rsid w:val="4D131804"/>
    <w:rsid w:val="4D8F02EA"/>
    <w:rsid w:val="4E656129"/>
    <w:rsid w:val="4E9C3B15"/>
    <w:rsid w:val="4EBA5EDC"/>
    <w:rsid w:val="4ECB6273"/>
    <w:rsid w:val="4EDE7C89"/>
    <w:rsid w:val="4F464515"/>
    <w:rsid w:val="4FB268D5"/>
    <w:rsid w:val="50841F28"/>
    <w:rsid w:val="50E23BE0"/>
    <w:rsid w:val="51600393"/>
    <w:rsid w:val="52042AAD"/>
    <w:rsid w:val="52351866"/>
    <w:rsid w:val="53936277"/>
    <w:rsid w:val="53FF0DCE"/>
    <w:rsid w:val="54793622"/>
    <w:rsid w:val="54F63B31"/>
    <w:rsid w:val="55393E6B"/>
    <w:rsid w:val="558570B1"/>
    <w:rsid w:val="55FD3AF2"/>
    <w:rsid w:val="575431DF"/>
    <w:rsid w:val="575C2093"/>
    <w:rsid w:val="58577D85"/>
    <w:rsid w:val="5867613B"/>
    <w:rsid w:val="589E69AB"/>
    <w:rsid w:val="58B83AC7"/>
    <w:rsid w:val="58FD4339"/>
    <w:rsid w:val="59860AD2"/>
    <w:rsid w:val="5A95400E"/>
    <w:rsid w:val="5AFB2A5C"/>
    <w:rsid w:val="5B0311A3"/>
    <w:rsid w:val="5B8502CC"/>
    <w:rsid w:val="5BC60BCC"/>
    <w:rsid w:val="5BE8638E"/>
    <w:rsid w:val="5E7B3F11"/>
    <w:rsid w:val="5EEA6376"/>
    <w:rsid w:val="5EF9595D"/>
    <w:rsid w:val="5F7A69E3"/>
    <w:rsid w:val="5FCA133C"/>
    <w:rsid w:val="603B4F3C"/>
    <w:rsid w:val="613823F5"/>
    <w:rsid w:val="61F96556"/>
    <w:rsid w:val="61FC3BB2"/>
    <w:rsid w:val="621912AD"/>
    <w:rsid w:val="624A5181"/>
    <w:rsid w:val="64664DDB"/>
    <w:rsid w:val="64874BF3"/>
    <w:rsid w:val="648B5726"/>
    <w:rsid w:val="65930E2D"/>
    <w:rsid w:val="65C35FE8"/>
    <w:rsid w:val="66505C29"/>
    <w:rsid w:val="665C07F6"/>
    <w:rsid w:val="6712269E"/>
    <w:rsid w:val="678169CB"/>
    <w:rsid w:val="683F08C3"/>
    <w:rsid w:val="68812D10"/>
    <w:rsid w:val="6AEE7124"/>
    <w:rsid w:val="6B0B7C00"/>
    <w:rsid w:val="6BA22B78"/>
    <w:rsid w:val="6C150D37"/>
    <w:rsid w:val="6C95115C"/>
    <w:rsid w:val="6E625D89"/>
    <w:rsid w:val="6EB476F5"/>
    <w:rsid w:val="6ED031D4"/>
    <w:rsid w:val="6EDC4949"/>
    <w:rsid w:val="6F4C2A5F"/>
    <w:rsid w:val="6FCF30E7"/>
    <w:rsid w:val="6FE32326"/>
    <w:rsid w:val="6FF96EAD"/>
    <w:rsid w:val="70452F8E"/>
    <w:rsid w:val="718F158B"/>
    <w:rsid w:val="71A015DD"/>
    <w:rsid w:val="71EE1771"/>
    <w:rsid w:val="72874010"/>
    <w:rsid w:val="743C0E2B"/>
    <w:rsid w:val="74E72327"/>
    <w:rsid w:val="758757EF"/>
    <w:rsid w:val="76715BF3"/>
    <w:rsid w:val="769B452E"/>
    <w:rsid w:val="773D06B3"/>
    <w:rsid w:val="77A318EC"/>
    <w:rsid w:val="77D84D75"/>
    <w:rsid w:val="77F20FAB"/>
    <w:rsid w:val="78447E3E"/>
    <w:rsid w:val="78C338C8"/>
    <w:rsid w:val="79050385"/>
    <w:rsid w:val="79B3393D"/>
    <w:rsid w:val="79E6461C"/>
    <w:rsid w:val="7A1F665B"/>
    <w:rsid w:val="7A881183"/>
    <w:rsid w:val="7BD2298B"/>
    <w:rsid w:val="7C156B31"/>
    <w:rsid w:val="7C372603"/>
    <w:rsid w:val="7C430D44"/>
    <w:rsid w:val="7CCF7EEF"/>
    <w:rsid w:val="7D5368DB"/>
    <w:rsid w:val="7DA855CC"/>
    <w:rsid w:val="7DD550DB"/>
    <w:rsid w:val="7E992C65"/>
    <w:rsid w:val="7F0C046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semiHidden="0" w:name="heading 2" w:locked="1"/>
    <w:lsdException w:qFormat="1" w:unhideWhenUsed="0" w:uiPriority="0"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0" w:semiHidden="0"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qFormat="1" w:unhideWhenUsed="0"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unhideWhenUsed/>
    <w:qFormat/>
    <w:locked/>
    <w:uiPriority w:val="0"/>
    <w:pPr>
      <w:keepNext/>
      <w:keepLines/>
      <w:spacing w:line="413" w:lineRule="auto"/>
      <w:outlineLvl w:val="1"/>
    </w:pPr>
    <w:rPr>
      <w:rFonts w:ascii="Arial" w:hAnsi="Arial" w:eastAsia="黑体"/>
      <w:b/>
      <w:sz w:val="32"/>
    </w:rPr>
  </w:style>
  <w:style w:type="paragraph" w:styleId="4">
    <w:name w:val="heading 3"/>
    <w:basedOn w:val="1"/>
    <w:next w:val="1"/>
    <w:qFormat/>
    <w:locked/>
    <w:uiPriority w:val="0"/>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customStyle="1" w:styleId="2">
    <w:name w:val="BodyText"/>
    <w:basedOn w:val="1"/>
    <w:next w:val="1"/>
    <w:qFormat/>
    <w:uiPriority w:val="0"/>
    <w:pPr>
      <w:jc w:val="center"/>
    </w:pPr>
    <w:rPr>
      <w:sz w:val="52"/>
    </w:rPr>
  </w:style>
  <w:style w:type="paragraph" w:styleId="5">
    <w:name w:val="Body Text"/>
    <w:basedOn w:val="1"/>
    <w:next w:val="1"/>
    <w:qFormat/>
    <w:uiPriority w:val="0"/>
    <w:pPr>
      <w:spacing w:line="360" w:lineRule="auto"/>
      <w:jc w:val="center"/>
    </w:pPr>
    <w:rPr>
      <w:rFonts w:ascii="宋体"/>
      <w:b/>
      <w:sz w:val="52"/>
    </w:rPr>
  </w:style>
  <w:style w:type="paragraph" w:styleId="6">
    <w:name w:val="Body Text Indent"/>
    <w:basedOn w:val="1"/>
    <w:qFormat/>
    <w:uiPriority w:val="0"/>
    <w:pPr>
      <w:spacing w:line="400" w:lineRule="exact"/>
      <w:ind w:left="420"/>
    </w:pPr>
    <w:rPr>
      <w:sz w:val="28"/>
    </w:rPr>
  </w:style>
  <w:style w:type="paragraph" w:styleId="7">
    <w:name w:val="Plain Text"/>
    <w:basedOn w:val="1"/>
    <w:link w:val="31"/>
    <w:qFormat/>
    <w:uiPriority w:val="0"/>
    <w:rPr>
      <w:rFonts w:ascii="宋体" w:hAnsi="Courier New" w:cs="Courier New"/>
      <w:szCs w:val="21"/>
    </w:rPr>
  </w:style>
  <w:style w:type="paragraph" w:styleId="8">
    <w:name w:val="Date"/>
    <w:basedOn w:val="1"/>
    <w:next w:val="1"/>
    <w:qFormat/>
    <w:uiPriority w:val="0"/>
    <w:pPr>
      <w:ind w:left="100" w:leftChars="2500"/>
    </w:pPr>
    <w:rPr>
      <w:sz w:val="36"/>
    </w:rPr>
  </w:style>
  <w:style w:type="paragraph" w:styleId="9">
    <w:name w:val="Body Text Indent 2"/>
    <w:basedOn w:val="1"/>
    <w:link w:val="19"/>
    <w:semiHidden/>
    <w:qFormat/>
    <w:uiPriority w:val="99"/>
    <w:pPr>
      <w:spacing w:after="120" w:line="480" w:lineRule="auto"/>
      <w:ind w:left="420" w:leftChars="200"/>
    </w:pPr>
  </w:style>
  <w:style w:type="paragraph" w:styleId="10">
    <w:name w:val="footer"/>
    <w:basedOn w:val="1"/>
    <w:link w:val="20"/>
    <w:semiHidden/>
    <w:qFormat/>
    <w:uiPriority w:val="99"/>
    <w:pPr>
      <w:tabs>
        <w:tab w:val="center" w:pos="4153"/>
        <w:tab w:val="right" w:pos="8306"/>
      </w:tabs>
      <w:snapToGrid w:val="0"/>
      <w:jc w:val="left"/>
    </w:pPr>
    <w:rPr>
      <w:sz w:val="18"/>
      <w:szCs w:val="18"/>
    </w:rPr>
  </w:style>
  <w:style w:type="paragraph" w:styleId="11">
    <w:name w:val="header"/>
    <w:basedOn w:val="1"/>
    <w:link w:val="21"/>
    <w:semiHidden/>
    <w:qFormat/>
    <w:uiPriority w:val="99"/>
    <w:pPr>
      <w:pBdr>
        <w:bottom w:val="single" w:color="auto" w:sz="6" w:space="1"/>
      </w:pBdr>
      <w:tabs>
        <w:tab w:val="center" w:pos="4153"/>
        <w:tab w:val="right" w:pos="8306"/>
      </w:tabs>
      <w:snapToGrid w:val="0"/>
      <w:jc w:val="center"/>
    </w:pPr>
    <w:rPr>
      <w:rFonts w:ascii="宋体" w:hAnsi="宋体" w:cs="宋体"/>
      <w:sz w:val="18"/>
      <w:szCs w:val="18"/>
    </w:rPr>
  </w:style>
  <w:style w:type="paragraph" w:styleId="12">
    <w:name w:val="HTML Preformatted"/>
    <w:basedOn w:val="1"/>
    <w:link w:val="34"/>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13">
    <w:name w:val="Body Text First Indent 2"/>
    <w:basedOn w:val="6"/>
    <w:unhideWhenUsed/>
    <w:qFormat/>
    <w:uiPriority w:val="99"/>
    <w:pPr>
      <w:ind w:firstLine="420" w:firstLineChars="200"/>
    </w:pPr>
  </w:style>
  <w:style w:type="table" w:styleId="15">
    <w:name w:val="Table Grid"/>
    <w:basedOn w:val="14"/>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
    <w:name w:val="BodyText1I2"/>
    <w:basedOn w:val="18"/>
    <w:qFormat/>
    <w:uiPriority w:val="0"/>
    <w:pPr>
      <w:tabs>
        <w:tab w:val="left" w:pos="1176"/>
      </w:tabs>
      <w:ind w:firstLine="420" w:firstLineChars="200"/>
    </w:pPr>
  </w:style>
  <w:style w:type="paragraph" w:customStyle="1" w:styleId="18">
    <w:name w:val="BodyTextIndent"/>
    <w:basedOn w:val="1"/>
    <w:next w:val="2"/>
    <w:qFormat/>
    <w:uiPriority w:val="0"/>
    <w:pPr>
      <w:ind w:firstLine="630"/>
    </w:pPr>
    <w:rPr>
      <w:sz w:val="28"/>
    </w:rPr>
  </w:style>
  <w:style w:type="character" w:customStyle="1" w:styleId="19">
    <w:name w:val="正文文本缩进 2 字符"/>
    <w:basedOn w:val="16"/>
    <w:link w:val="9"/>
    <w:semiHidden/>
    <w:qFormat/>
    <w:locked/>
    <w:uiPriority w:val="99"/>
    <w:rPr>
      <w:rFonts w:ascii="Calibri" w:hAnsi="Calibri" w:eastAsia="宋体" w:cs="Times New Roman"/>
      <w:sz w:val="24"/>
      <w:szCs w:val="24"/>
    </w:rPr>
  </w:style>
  <w:style w:type="character" w:customStyle="1" w:styleId="20">
    <w:name w:val="页脚 字符"/>
    <w:basedOn w:val="16"/>
    <w:link w:val="10"/>
    <w:semiHidden/>
    <w:qFormat/>
    <w:locked/>
    <w:uiPriority w:val="99"/>
    <w:rPr>
      <w:rFonts w:ascii="Calibri" w:hAnsi="Calibri" w:eastAsia="宋体" w:cs="Times New Roman"/>
      <w:sz w:val="18"/>
      <w:szCs w:val="18"/>
    </w:rPr>
  </w:style>
  <w:style w:type="character" w:customStyle="1" w:styleId="21">
    <w:name w:val="页眉 字符"/>
    <w:basedOn w:val="16"/>
    <w:link w:val="11"/>
    <w:semiHidden/>
    <w:qFormat/>
    <w:locked/>
    <w:uiPriority w:val="99"/>
    <w:rPr>
      <w:rFonts w:ascii="宋体" w:hAnsi="宋体" w:eastAsia="宋体" w:cs="宋体"/>
      <w:sz w:val="18"/>
      <w:szCs w:val="18"/>
    </w:rPr>
  </w:style>
  <w:style w:type="character" w:customStyle="1" w:styleId="22">
    <w:name w:val="页眉 Char"/>
    <w:basedOn w:val="16"/>
    <w:semiHidden/>
    <w:qFormat/>
    <w:uiPriority w:val="99"/>
    <w:rPr>
      <w:rFonts w:ascii="Calibri" w:hAnsi="Calibri" w:eastAsia="宋体" w:cs="Times New Roman"/>
      <w:sz w:val="18"/>
      <w:szCs w:val="18"/>
    </w:rPr>
  </w:style>
  <w:style w:type="paragraph" w:customStyle="1" w:styleId="23">
    <w:name w:val="p0"/>
    <w:basedOn w:val="1"/>
    <w:qFormat/>
    <w:uiPriority w:val="99"/>
    <w:pPr>
      <w:widowControl/>
      <w:spacing w:line="360" w:lineRule="auto"/>
      <w:jc w:val="left"/>
    </w:pPr>
    <w:rPr>
      <w:rFonts w:ascii="??" w:hAnsi="??" w:cs="宋体"/>
      <w:kern w:val="0"/>
      <w:sz w:val="20"/>
      <w:szCs w:val="20"/>
    </w:rPr>
  </w:style>
  <w:style w:type="character" w:customStyle="1" w:styleId="24">
    <w:name w:val="h221"/>
    <w:basedOn w:val="16"/>
    <w:qFormat/>
    <w:uiPriority w:val="99"/>
    <w:rPr>
      <w:rFonts w:ascii="宋体" w:hAnsi="宋体" w:eastAsia="宋体" w:cs="宋体"/>
      <w:sz w:val="24"/>
    </w:rPr>
  </w:style>
  <w:style w:type="character" w:customStyle="1" w:styleId="25">
    <w:name w:val="NormalCharacter"/>
    <w:semiHidden/>
    <w:qFormat/>
    <w:uiPriority w:val="0"/>
    <w:rPr>
      <w:rFonts w:ascii="Calibri" w:hAnsi="Calibri" w:eastAsia="宋体" w:cs="Times New Roman"/>
      <w:kern w:val="2"/>
      <w:sz w:val="21"/>
      <w:szCs w:val="24"/>
      <w:lang w:val="en-US" w:eastAsia="zh-CN" w:bidi="ar-SA"/>
    </w:rPr>
  </w:style>
  <w:style w:type="paragraph" w:customStyle="1" w:styleId="26">
    <w:name w:val="Heading3"/>
    <w:basedOn w:val="1"/>
    <w:next w:val="1"/>
    <w:qFormat/>
    <w:uiPriority w:val="0"/>
    <w:pPr>
      <w:keepNext/>
      <w:keepLines/>
      <w:widowControl/>
      <w:spacing w:before="260" w:after="260" w:line="416" w:lineRule="auto"/>
      <w:textAlignment w:val="baseline"/>
    </w:pPr>
    <w:rPr>
      <w:b/>
      <w:bCs/>
      <w:sz w:val="32"/>
      <w:szCs w:val="32"/>
    </w:rPr>
  </w:style>
  <w:style w:type="character" w:customStyle="1" w:styleId="27">
    <w:name w:val="font51"/>
    <w:basedOn w:val="16"/>
    <w:qFormat/>
    <w:uiPriority w:val="0"/>
    <w:rPr>
      <w:rFonts w:ascii="微软雅黑" w:hAnsi="微软雅黑" w:eastAsia="微软雅黑" w:cs="微软雅黑"/>
      <w:color w:val="000000"/>
      <w:sz w:val="22"/>
      <w:szCs w:val="22"/>
      <w:u w:val="none"/>
    </w:rPr>
  </w:style>
  <w:style w:type="character" w:customStyle="1" w:styleId="28">
    <w:name w:val="font31"/>
    <w:basedOn w:val="16"/>
    <w:qFormat/>
    <w:uiPriority w:val="0"/>
    <w:rPr>
      <w:rFonts w:hint="eastAsia" w:ascii="宋体" w:hAnsi="宋体" w:eastAsia="宋体" w:cs="宋体"/>
      <w:color w:val="000000"/>
      <w:sz w:val="22"/>
      <w:szCs w:val="22"/>
      <w:u w:val="none"/>
    </w:rPr>
  </w:style>
  <w:style w:type="character" w:customStyle="1" w:styleId="29">
    <w:name w:val="font01"/>
    <w:basedOn w:val="16"/>
    <w:qFormat/>
    <w:uiPriority w:val="0"/>
    <w:rPr>
      <w:rFonts w:hint="eastAsia" w:ascii="宋体" w:hAnsi="宋体" w:eastAsia="宋体" w:cs="宋体"/>
      <w:color w:val="000000"/>
      <w:sz w:val="22"/>
      <w:szCs w:val="22"/>
      <w:u w:val="none"/>
    </w:rPr>
  </w:style>
  <w:style w:type="character" w:customStyle="1" w:styleId="30">
    <w:name w:val="font71"/>
    <w:basedOn w:val="16"/>
    <w:qFormat/>
    <w:uiPriority w:val="0"/>
    <w:rPr>
      <w:rFonts w:ascii="微软雅黑" w:hAnsi="微软雅黑" w:eastAsia="微软雅黑" w:cs="微软雅黑"/>
      <w:color w:val="000000"/>
      <w:sz w:val="22"/>
      <w:szCs w:val="22"/>
      <w:u w:val="none"/>
    </w:rPr>
  </w:style>
  <w:style w:type="character" w:customStyle="1" w:styleId="31">
    <w:name w:val="纯文本 字符"/>
    <w:basedOn w:val="16"/>
    <w:link w:val="7"/>
    <w:qFormat/>
    <w:uiPriority w:val="0"/>
    <w:rPr>
      <w:rFonts w:ascii="宋体" w:hAnsi="Courier New" w:cs="Courier New"/>
      <w:kern w:val="2"/>
      <w:sz w:val="21"/>
      <w:szCs w:val="21"/>
    </w:rPr>
  </w:style>
  <w:style w:type="paragraph" w:customStyle="1" w:styleId="32">
    <w:name w:val="Body text|14"/>
    <w:basedOn w:val="1"/>
    <w:qFormat/>
    <w:uiPriority w:val="99"/>
    <w:pPr>
      <w:shd w:val="clear" w:color="auto" w:fill="FFFFFF"/>
      <w:spacing w:line="110" w:lineRule="exact"/>
    </w:pPr>
    <w:rPr>
      <w:rFonts w:ascii="PMingLiUfalt" w:hAnsi="PMingLiUfalt" w:eastAsia="PMingLiUfalt" w:cs="PMingLiUfalt"/>
      <w:w w:val="250"/>
      <w:sz w:val="11"/>
      <w:szCs w:val="11"/>
      <w:lang w:eastAsia="en-US"/>
    </w:rPr>
  </w:style>
  <w:style w:type="character" w:customStyle="1" w:styleId="33">
    <w:name w:val="Body text|14 Exact1"/>
    <w:qFormat/>
    <w:uiPriority w:val="99"/>
    <w:rPr>
      <w:rFonts w:ascii="PMingLiUfalt" w:hAnsi="PMingLiUfalt" w:eastAsia="PMingLiUfalt" w:cs="PMingLiUfalt"/>
      <w:color w:val="95415D"/>
      <w:spacing w:val="0"/>
      <w:w w:val="250"/>
      <w:position w:val="0"/>
      <w:sz w:val="11"/>
      <w:szCs w:val="11"/>
      <w:u w:val="none"/>
      <w:lang w:val="en-US" w:eastAsia="en-US"/>
    </w:rPr>
  </w:style>
  <w:style w:type="character" w:customStyle="1" w:styleId="34">
    <w:name w:val="HTML 预设格式 字符"/>
    <w:basedOn w:val="16"/>
    <w:link w:val="12"/>
    <w:qFormat/>
    <w:uiPriority w:val="99"/>
    <w:rPr>
      <w:rFonts w:ascii="宋体" w:hAnsi="宋体"/>
      <w:sz w:val="24"/>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jpe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19</Pages>
  <Words>11179</Words>
  <Characters>11773</Characters>
  <Lines>10</Lines>
  <Paragraphs>22</Paragraphs>
  <TotalTime>10</TotalTime>
  <ScaleCrop>false</ScaleCrop>
  <LinksUpToDate>false</LinksUpToDate>
  <CharactersWithSpaces>12130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2021-04-01T09:28:00Z</dcterms:created>
  <dc:creator>LENOVO</dc:creator>
  <cp:lastModifiedBy>G.L</cp:lastModifiedBy>
  <cp:lastPrinted>2023-02-06T03:47:00Z</cp:lastPrinted>
  <dcterms:modified xsi:type="dcterms:W3CDTF">2023-02-07T13:48:17Z</dcterms:modified>
  <dc:title>安徽中冶淮海装配式建筑有限公司</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A28AA8FE73704BDEB7939806AA66B36B</vt:lpwstr>
  </property>
</Properties>
</file>